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bookmarkStart w:id="0" w:name="_Hlk57883707"/>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bookmarkEnd w:id="0"/>
    <w:p>
      <w:pPr>
        <w:adjustRightInd w:val="0"/>
        <w:snapToGrid w:val="0"/>
        <w:jc w:val="center"/>
        <w:outlineLvl w:val="0"/>
        <w:rPr>
          <w:rFonts w:ascii="黑体" w:hAnsi="黑体" w:eastAsia="黑体"/>
          <w:bCs/>
          <w:color w:val="auto"/>
          <w:sz w:val="72"/>
          <w:szCs w:val="72"/>
        </w:rPr>
      </w:pPr>
      <w:r>
        <w:rPr>
          <w:rFonts w:ascii="黑体" w:hAnsi="黑体" w:eastAsia="黑体"/>
          <w:bCs/>
          <w:color w:val="auto"/>
          <w:sz w:val="72"/>
          <w:szCs w:val="72"/>
        </w:rPr>
        <w:t>建设项目环境影响报告表</w:t>
      </w:r>
    </w:p>
    <w:p>
      <w:pPr>
        <w:adjustRightInd w:val="0"/>
        <w:snapToGrid w:val="0"/>
        <w:spacing w:before="192" w:beforeLines="80"/>
        <w:jc w:val="center"/>
        <w:rPr>
          <w:rFonts w:ascii="仿宋_GB2312" w:hAnsi="黑体" w:eastAsia="仿宋_GB2312"/>
          <w:bCs/>
          <w:color w:val="auto"/>
          <w:sz w:val="40"/>
          <w:szCs w:val="40"/>
        </w:rPr>
      </w:pPr>
      <w:r>
        <w:rPr>
          <w:rFonts w:hint="eastAsia" w:ascii="仿宋_GB2312" w:hAnsi="黑体" w:eastAsia="仿宋_GB2312"/>
          <w:bCs/>
          <w:color w:val="auto"/>
          <w:sz w:val="40"/>
          <w:szCs w:val="40"/>
        </w:rPr>
        <w:t>（生态影响类）</w:t>
      </w:r>
    </w:p>
    <w:p>
      <w:pPr>
        <w:adjustRightInd w:val="0"/>
        <w:snapToGrid w:val="0"/>
        <w:spacing w:line="288" w:lineRule="auto"/>
        <w:jc w:val="center"/>
        <w:rPr>
          <w:rFonts w:eastAsia="华文仿宋"/>
          <w:color w:val="auto"/>
          <w:kern w:val="44"/>
          <w:sz w:val="44"/>
          <w:szCs w:val="44"/>
        </w:rPr>
      </w:pPr>
      <w:bookmarkStart w:id="1" w:name="_Hlk57883728"/>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pStyle w:val="2"/>
        <w:ind w:firstLine="210"/>
        <w:rPr>
          <w:color w:val="auto"/>
        </w:rPr>
      </w:pPr>
    </w:p>
    <w:p>
      <w:pPr>
        <w:ind w:firstLine="1040"/>
        <w:rPr>
          <w:rFonts w:ascii="仿宋_GB2312" w:eastAsia="仿宋_GB2312"/>
          <w:color w:val="auto"/>
          <w:sz w:val="32"/>
          <w:szCs w:val="32"/>
        </w:rPr>
      </w:pPr>
    </w:p>
    <w:p>
      <w:pPr>
        <w:ind w:firstLine="1040"/>
        <w:rPr>
          <w:rFonts w:ascii="仿宋_GB2312" w:eastAsia="仿宋_GB2312"/>
          <w:color w:val="auto"/>
          <w:sz w:val="32"/>
          <w:szCs w:val="32"/>
        </w:rPr>
      </w:pPr>
    </w:p>
    <w:bookmarkEnd w:id="1"/>
    <w:p>
      <w:pPr>
        <w:adjustRightInd w:val="0"/>
        <w:snapToGrid w:val="0"/>
        <w:spacing w:line="360" w:lineRule="auto"/>
        <w:ind w:left="1600" w:hanging="1600" w:hangingChars="500"/>
        <w:rPr>
          <w:rFonts w:ascii="仿宋_GB2312" w:eastAsia="仿宋_GB2312"/>
          <w:color w:val="auto"/>
          <w:sz w:val="32"/>
          <w:szCs w:val="32"/>
          <w:u w:val="single"/>
        </w:rPr>
      </w:pPr>
      <w:r>
        <w:rPr>
          <w:rFonts w:hint="eastAsia" w:ascii="仿宋_GB2312" w:eastAsia="仿宋_GB2312"/>
          <w:color w:val="auto"/>
          <w:sz w:val="32"/>
          <w:szCs w:val="32"/>
        </w:rPr>
        <w:t>项目名称：</w:t>
      </w:r>
      <w:r>
        <w:rPr>
          <w:rFonts w:hint="eastAsia" w:ascii="仿宋_GB2312" w:eastAsia="仿宋_GB2312"/>
          <w:color w:val="auto"/>
          <w:sz w:val="32"/>
          <w:szCs w:val="32"/>
          <w:u w:val="single"/>
        </w:rPr>
        <w:t xml:space="preserve"> </w:t>
      </w:r>
      <w:r>
        <w:rPr>
          <w:rFonts w:ascii="仿宋_GB2312" w:eastAsia="仿宋_GB2312"/>
          <w:color w:val="auto"/>
          <w:sz w:val="32"/>
          <w:szCs w:val="32"/>
          <w:u w:val="single"/>
        </w:rPr>
        <w:t xml:space="preserve">         </w:t>
      </w:r>
      <w:r>
        <w:rPr>
          <w:rFonts w:hint="eastAsia" w:ascii="仿宋_GB2312" w:eastAsia="仿宋_GB2312"/>
          <w:color w:val="auto"/>
          <w:sz w:val="32"/>
          <w:szCs w:val="32"/>
          <w:u w:val="single"/>
        </w:rPr>
        <w:t xml:space="preserve">彭阳县王洼二矿矸石场防洪工程  </w:t>
      </w:r>
      <w:r>
        <w:rPr>
          <w:rFonts w:hint="eastAsia" w:ascii="仿宋_GB2312" w:hAnsi="宋体" w:eastAsia="仿宋_GB2312" w:cs="宋体"/>
          <w:color w:val="auto"/>
          <w:sz w:val="32"/>
          <w:szCs w:val="32"/>
          <w:u w:val="single"/>
        </w:rPr>
        <w:t xml:space="preserve">      </w:t>
      </w:r>
    </w:p>
    <w:p>
      <w:pPr>
        <w:adjustRightInd w:val="0"/>
        <w:snapToGrid w:val="0"/>
        <w:spacing w:line="360" w:lineRule="auto"/>
        <w:rPr>
          <w:rFonts w:ascii="仿宋_GB2312" w:eastAsia="仿宋_GB2312"/>
          <w:color w:val="auto"/>
          <w:sz w:val="32"/>
          <w:szCs w:val="32"/>
          <w:u w:val="single"/>
        </w:rPr>
      </w:pPr>
      <w:r>
        <w:rPr>
          <w:rFonts w:hint="eastAsia" w:ascii="仿宋_GB2312" w:eastAsia="仿宋_GB2312"/>
          <w:color w:val="auto"/>
          <w:sz w:val="32"/>
          <w:szCs w:val="32"/>
        </w:rPr>
        <w:t>建设单位（盖章）：</w:t>
      </w:r>
      <w:r>
        <w:rPr>
          <w:rFonts w:hint="eastAsia" w:ascii="仿宋_GB2312" w:eastAsia="仿宋_GB2312"/>
          <w:color w:val="auto"/>
          <w:sz w:val="32"/>
          <w:szCs w:val="32"/>
          <w:u w:val="single"/>
        </w:rPr>
        <w:t xml:space="preserve">       </w:t>
      </w:r>
      <w:bookmarkStart w:id="2" w:name="_Hlk77177350"/>
      <w:r>
        <w:rPr>
          <w:rFonts w:ascii="仿宋_GB2312" w:eastAsia="仿宋_GB2312"/>
          <w:color w:val="auto"/>
          <w:sz w:val="32"/>
          <w:szCs w:val="32"/>
          <w:u w:val="single"/>
        </w:rPr>
        <w:t xml:space="preserve"> </w:t>
      </w:r>
      <w:r>
        <w:rPr>
          <w:rFonts w:hint="eastAsia" w:ascii="仿宋_GB2312" w:eastAsia="仿宋_GB2312"/>
          <w:color w:val="auto"/>
          <w:sz w:val="32"/>
          <w:szCs w:val="32"/>
          <w:u w:val="single"/>
        </w:rPr>
        <w:t>宁夏王洼煤业有限公司</w:t>
      </w:r>
      <w:bookmarkEnd w:id="2"/>
      <w:r>
        <w:rPr>
          <w:rFonts w:hint="eastAsia" w:ascii="仿宋_GB2312" w:eastAsia="仿宋_GB2312"/>
          <w:color w:val="auto"/>
          <w:sz w:val="32"/>
          <w:szCs w:val="32"/>
          <w:u w:val="single"/>
        </w:rPr>
        <w:t xml:space="preserve">    </w:t>
      </w:r>
      <w:r>
        <w:rPr>
          <w:rFonts w:ascii="仿宋_GB2312" w:eastAsia="仿宋_GB2312"/>
          <w:color w:val="auto"/>
          <w:sz w:val="32"/>
          <w:szCs w:val="32"/>
          <w:u w:val="single"/>
        </w:rPr>
        <w:t xml:space="preserve">   </w:t>
      </w:r>
      <w:r>
        <w:rPr>
          <w:rFonts w:hint="eastAsia" w:ascii="仿宋_GB2312" w:eastAsia="仿宋_GB2312"/>
          <w:color w:val="auto"/>
          <w:sz w:val="32"/>
          <w:szCs w:val="32"/>
          <w:u w:val="single"/>
        </w:rPr>
        <w:t xml:space="preserve">     </w:t>
      </w:r>
    </w:p>
    <w:p>
      <w:pPr>
        <w:adjustRightInd w:val="0"/>
        <w:snapToGrid w:val="0"/>
        <w:spacing w:line="360" w:lineRule="auto"/>
        <w:rPr>
          <w:rFonts w:ascii="仿宋_GB2312" w:eastAsia="仿宋_GB2312"/>
          <w:color w:val="auto"/>
          <w:sz w:val="32"/>
          <w:szCs w:val="32"/>
          <w:u w:val="single"/>
        </w:rPr>
      </w:pPr>
      <w:r>
        <w:rPr>
          <w:rFonts w:hint="eastAsia" w:ascii="仿宋_GB2312" w:eastAsia="仿宋_GB2312"/>
          <w:color w:val="auto"/>
          <w:sz w:val="32"/>
          <w:szCs w:val="32"/>
        </w:rPr>
        <w:t>编制日期：</w:t>
      </w:r>
      <w:r>
        <w:rPr>
          <w:rFonts w:hint="eastAsia" w:ascii="仿宋_GB2312" w:eastAsia="仿宋_GB2312"/>
          <w:color w:val="auto"/>
          <w:sz w:val="32"/>
          <w:szCs w:val="32"/>
          <w:u w:val="single"/>
        </w:rPr>
        <w:t xml:space="preserve">                  2021年</w:t>
      </w:r>
      <w:r>
        <w:rPr>
          <w:rFonts w:hint="eastAsia" w:ascii="仿宋_GB2312" w:eastAsia="仿宋_GB2312"/>
          <w:color w:val="auto"/>
          <w:sz w:val="32"/>
          <w:szCs w:val="32"/>
          <w:u w:val="single"/>
          <w:lang w:val="en-US" w:eastAsia="zh-CN"/>
        </w:rPr>
        <w:t>12</w:t>
      </w:r>
      <w:bookmarkStart w:id="106" w:name="_GoBack"/>
      <w:bookmarkEnd w:id="106"/>
      <w:r>
        <w:rPr>
          <w:rFonts w:hint="eastAsia" w:ascii="仿宋_GB2312" w:eastAsia="仿宋_GB2312"/>
          <w:color w:val="auto"/>
          <w:sz w:val="32"/>
          <w:szCs w:val="32"/>
          <w:u w:val="single"/>
        </w:rPr>
        <w:t xml:space="preserve">月                 </w:t>
      </w:r>
    </w:p>
    <w:p>
      <w:pPr>
        <w:adjustRightInd w:val="0"/>
        <w:snapToGrid w:val="0"/>
        <w:spacing w:line="288" w:lineRule="auto"/>
        <w:ind w:firstLine="1040"/>
        <w:rPr>
          <w:rFonts w:ascii="仿宋_GB2312" w:eastAsia="仿宋_GB2312"/>
          <w:color w:val="auto"/>
          <w:sz w:val="32"/>
          <w:szCs w:val="32"/>
          <w:u w:val="single"/>
        </w:rPr>
      </w:pPr>
    </w:p>
    <w:p>
      <w:pPr>
        <w:adjustRightInd w:val="0"/>
        <w:snapToGrid w:val="0"/>
        <w:spacing w:line="288" w:lineRule="auto"/>
        <w:ind w:firstLine="1040"/>
        <w:rPr>
          <w:rFonts w:ascii="仿宋_GB2312" w:eastAsia="仿宋_GB2312"/>
          <w:color w:val="auto"/>
          <w:sz w:val="32"/>
          <w:szCs w:val="32"/>
        </w:rPr>
      </w:pPr>
    </w:p>
    <w:p>
      <w:pPr>
        <w:adjustRightInd w:val="0"/>
        <w:snapToGrid w:val="0"/>
        <w:spacing w:line="288" w:lineRule="auto"/>
        <w:ind w:firstLine="1040"/>
        <w:rPr>
          <w:rFonts w:ascii="仿宋_GB2312" w:eastAsia="仿宋_GB2312"/>
          <w:color w:val="auto"/>
          <w:sz w:val="32"/>
          <w:szCs w:val="32"/>
        </w:rPr>
      </w:pPr>
    </w:p>
    <w:p>
      <w:pPr>
        <w:adjustRightInd w:val="0"/>
        <w:snapToGrid w:val="0"/>
        <w:spacing w:line="288" w:lineRule="auto"/>
        <w:ind w:firstLine="1040"/>
        <w:rPr>
          <w:rFonts w:ascii="仿宋_GB2312" w:eastAsia="仿宋_GB2312"/>
          <w:color w:val="auto"/>
          <w:sz w:val="32"/>
          <w:szCs w:val="32"/>
        </w:rPr>
      </w:pPr>
    </w:p>
    <w:p>
      <w:pPr>
        <w:pStyle w:val="2"/>
        <w:ind w:firstLine="210"/>
        <w:rPr>
          <w:color w:val="auto"/>
        </w:rPr>
      </w:pPr>
    </w:p>
    <w:p>
      <w:pPr>
        <w:rPr>
          <w:color w:val="auto"/>
        </w:rPr>
      </w:pPr>
    </w:p>
    <w:p>
      <w:pPr>
        <w:pStyle w:val="2"/>
        <w:ind w:firstLine="210"/>
        <w:rPr>
          <w:color w:val="auto"/>
        </w:rPr>
      </w:pPr>
    </w:p>
    <w:p>
      <w:pPr>
        <w:rPr>
          <w:color w:val="auto"/>
        </w:rPr>
      </w:pPr>
    </w:p>
    <w:p>
      <w:pPr>
        <w:adjustRightInd w:val="0"/>
        <w:snapToGrid w:val="0"/>
        <w:spacing w:line="288" w:lineRule="auto"/>
        <w:jc w:val="center"/>
        <w:rPr>
          <w:rFonts w:ascii="仿宋_GB2312" w:eastAsia="仿宋_GB2312"/>
          <w:color w:val="auto"/>
          <w:sz w:val="36"/>
          <w:szCs w:val="36"/>
        </w:rPr>
      </w:pPr>
      <w:r>
        <w:rPr>
          <w:rFonts w:hint="eastAsia" w:ascii="仿宋_GB2312" w:eastAsia="仿宋_GB2312"/>
          <w:color w:val="auto"/>
          <w:sz w:val="36"/>
          <w:szCs w:val="36"/>
        </w:rPr>
        <w:t>中华人民共和国生态环境部制</w:t>
      </w:r>
    </w:p>
    <w:p>
      <w:pPr>
        <w:adjustRightInd w:val="0"/>
        <w:snapToGrid w:val="0"/>
        <w:spacing w:line="288" w:lineRule="auto"/>
        <w:ind w:firstLine="1040"/>
        <w:rPr>
          <w:rFonts w:eastAsia="仿宋_GB2312"/>
          <w:color w:val="auto"/>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25"/>
        <w:rPr>
          <w:color w:val="auto"/>
        </w:rPr>
        <w:sectPr>
          <w:pgSz w:w="11906" w:h="16838"/>
          <w:pgMar w:top="1701" w:right="1531" w:bottom="1701" w:left="1531" w:header="851" w:footer="1077" w:gutter="0"/>
          <w:pgNumType w:start="21"/>
          <w:cols w:space="720" w:num="1"/>
          <w:docGrid w:linePitch="312" w:charSpace="0"/>
        </w:sectPr>
      </w:pPr>
    </w:p>
    <w:p>
      <w:pPr>
        <w:pStyle w:val="9"/>
        <w:snapToGrid w:val="0"/>
        <w:spacing w:line="240" w:lineRule="auto"/>
        <w:jc w:val="both"/>
        <w:outlineLvl w:val="0"/>
        <w:rPr>
          <w:b/>
          <w:color w:val="auto"/>
          <w:sz w:val="30"/>
          <w:szCs w:val="30"/>
        </w:rPr>
      </w:pPr>
      <w:r>
        <w:rPr>
          <w:b/>
          <w:color w:val="auto"/>
          <w:sz w:val="30"/>
          <w:szCs w:val="30"/>
        </w:rPr>
        <w:t>一、建设项目基本情况</w:t>
      </w:r>
    </w:p>
    <w:tbl>
      <w:tblPr>
        <w:tblStyle w:val="19"/>
        <w:tblW w:w="9356"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60"/>
        <w:gridCol w:w="2709"/>
        <w:gridCol w:w="2110"/>
        <w:gridCol w:w="29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1560" w:type="dxa"/>
            <w:tcMar>
              <w:top w:w="16" w:type="dxa"/>
              <w:left w:w="16" w:type="dxa"/>
              <w:right w:w="16" w:type="dxa"/>
            </w:tcMar>
            <w:vAlign w:val="center"/>
          </w:tcPr>
          <w:p>
            <w:pPr>
              <w:adjustRightInd w:val="0"/>
              <w:snapToGrid w:val="0"/>
              <w:jc w:val="center"/>
              <w:rPr>
                <w:b/>
                <w:bCs/>
                <w:color w:val="auto"/>
                <w:sz w:val="24"/>
              </w:rPr>
            </w:pPr>
            <w:r>
              <w:rPr>
                <w:b/>
                <w:bCs/>
                <w:color w:val="auto"/>
                <w:sz w:val="24"/>
              </w:rPr>
              <w:t>建设项目</w:t>
            </w:r>
          </w:p>
          <w:p>
            <w:pPr>
              <w:adjustRightInd w:val="0"/>
              <w:snapToGrid w:val="0"/>
              <w:jc w:val="center"/>
              <w:rPr>
                <w:b/>
                <w:bCs/>
                <w:color w:val="auto"/>
                <w:sz w:val="24"/>
              </w:rPr>
            </w:pPr>
            <w:r>
              <w:rPr>
                <w:b/>
                <w:bCs/>
                <w:color w:val="auto"/>
                <w:sz w:val="24"/>
              </w:rPr>
              <w:t>名称</w:t>
            </w:r>
          </w:p>
        </w:tc>
        <w:tc>
          <w:tcPr>
            <w:tcW w:w="7796" w:type="dxa"/>
            <w:gridSpan w:val="3"/>
            <w:vAlign w:val="center"/>
          </w:tcPr>
          <w:p>
            <w:pPr>
              <w:adjustRightInd w:val="0"/>
              <w:snapToGrid w:val="0"/>
              <w:jc w:val="center"/>
              <w:rPr>
                <w:color w:val="auto"/>
                <w:sz w:val="24"/>
              </w:rPr>
            </w:pPr>
            <w:r>
              <w:rPr>
                <w:rFonts w:hint="eastAsia"/>
                <w:color w:val="auto"/>
                <w:sz w:val="24"/>
              </w:rPr>
              <w:t>彭阳县王洼二矿矸石场防洪工程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1560" w:type="dxa"/>
            <w:tcMar>
              <w:top w:w="16" w:type="dxa"/>
              <w:left w:w="16" w:type="dxa"/>
              <w:right w:w="16" w:type="dxa"/>
            </w:tcMar>
            <w:vAlign w:val="center"/>
          </w:tcPr>
          <w:p>
            <w:pPr>
              <w:adjustRightInd w:val="0"/>
              <w:snapToGrid w:val="0"/>
              <w:jc w:val="center"/>
              <w:rPr>
                <w:b/>
                <w:bCs/>
                <w:color w:val="auto"/>
                <w:sz w:val="24"/>
              </w:rPr>
            </w:pPr>
            <w:r>
              <w:rPr>
                <w:b/>
                <w:bCs/>
                <w:color w:val="auto"/>
                <w:sz w:val="24"/>
              </w:rPr>
              <w:t>项目代码</w:t>
            </w:r>
          </w:p>
        </w:tc>
        <w:tc>
          <w:tcPr>
            <w:tcW w:w="7796" w:type="dxa"/>
            <w:gridSpan w:val="3"/>
            <w:vAlign w:val="center"/>
          </w:tcPr>
          <w:p>
            <w:pPr>
              <w:adjustRightInd w:val="0"/>
              <w:snapToGrid w:val="0"/>
              <w:jc w:val="center"/>
              <w:rPr>
                <w:color w:val="auto"/>
                <w:sz w:val="24"/>
              </w:rPr>
            </w:pPr>
            <w:r>
              <w:rPr>
                <w:rFonts w:hint="eastAsia"/>
                <w:color w:val="auto"/>
                <w:sz w:val="24"/>
              </w:rPr>
              <w:t>2</w:t>
            </w:r>
            <w:r>
              <w:rPr>
                <w:color w:val="auto"/>
                <w:sz w:val="24"/>
              </w:rPr>
              <w:t>111</w:t>
            </w:r>
            <w:r>
              <w:rPr>
                <w:rFonts w:hint="eastAsia"/>
                <w:color w:val="auto"/>
                <w:sz w:val="24"/>
              </w:rPr>
              <w:t>-</w:t>
            </w:r>
            <w:r>
              <w:rPr>
                <w:color w:val="auto"/>
                <w:sz w:val="24"/>
              </w:rPr>
              <w:t>640425</w:t>
            </w:r>
            <w:r>
              <w:rPr>
                <w:rFonts w:hint="eastAsia"/>
                <w:color w:val="auto"/>
                <w:sz w:val="24"/>
              </w:rPr>
              <w:t>-</w:t>
            </w:r>
            <w:r>
              <w:rPr>
                <w:color w:val="auto"/>
                <w:sz w:val="24"/>
              </w:rPr>
              <w:t>04</w:t>
            </w:r>
            <w:r>
              <w:rPr>
                <w:rFonts w:hint="eastAsia"/>
                <w:color w:val="auto"/>
                <w:sz w:val="24"/>
              </w:rPr>
              <w:t>-</w:t>
            </w:r>
            <w:r>
              <w:rPr>
                <w:color w:val="auto"/>
                <w:sz w:val="24"/>
              </w:rPr>
              <w:t>05</w:t>
            </w:r>
            <w:r>
              <w:rPr>
                <w:rFonts w:hint="eastAsia"/>
                <w:color w:val="auto"/>
                <w:sz w:val="24"/>
              </w:rPr>
              <w:t>-</w:t>
            </w:r>
            <w:r>
              <w:rPr>
                <w:color w:val="auto"/>
                <w:sz w:val="24"/>
              </w:rPr>
              <w:t>186902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8" w:hRule="atLeast"/>
        </w:trPr>
        <w:tc>
          <w:tcPr>
            <w:tcW w:w="1560" w:type="dxa"/>
            <w:tcMar>
              <w:top w:w="16" w:type="dxa"/>
              <w:left w:w="16" w:type="dxa"/>
              <w:right w:w="16" w:type="dxa"/>
            </w:tcMar>
            <w:vAlign w:val="center"/>
          </w:tcPr>
          <w:p>
            <w:pPr>
              <w:adjustRightInd w:val="0"/>
              <w:snapToGrid w:val="0"/>
              <w:jc w:val="center"/>
              <w:rPr>
                <w:b/>
                <w:bCs/>
                <w:color w:val="auto"/>
                <w:sz w:val="24"/>
              </w:rPr>
            </w:pPr>
            <w:r>
              <w:rPr>
                <w:b/>
                <w:bCs/>
                <w:color w:val="auto"/>
                <w:sz w:val="24"/>
              </w:rPr>
              <w:t>建设单位</w:t>
            </w:r>
          </w:p>
          <w:p>
            <w:pPr>
              <w:adjustRightInd w:val="0"/>
              <w:snapToGrid w:val="0"/>
              <w:jc w:val="center"/>
              <w:rPr>
                <w:b/>
                <w:bCs/>
                <w:color w:val="auto"/>
                <w:sz w:val="24"/>
              </w:rPr>
            </w:pPr>
            <w:r>
              <w:rPr>
                <w:b/>
                <w:bCs/>
                <w:color w:val="auto"/>
                <w:sz w:val="24"/>
              </w:rPr>
              <w:t>联系人</w:t>
            </w:r>
          </w:p>
        </w:tc>
        <w:tc>
          <w:tcPr>
            <w:tcW w:w="2709" w:type="dxa"/>
            <w:vAlign w:val="center"/>
          </w:tcPr>
          <w:p>
            <w:pPr>
              <w:adjustRightInd w:val="0"/>
              <w:snapToGrid w:val="0"/>
              <w:jc w:val="center"/>
              <w:rPr>
                <w:color w:val="auto"/>
                <w:sz w:val="24"/>
              </w:rPr>
            </w:pPr>
            <w:r>
              <w:rPr>
                <w:rFonts w:hint="eastAsia"/>
                <w:color w:val="auto"/>
                <w:sz w:val="24"/>
              </w:rPr>
              <w:t>周鹏</w:t>
            </w:r>
          </w:p>
        </w:tc>
        <w:tc>
          <w:tcPr>
            <w:tcW w:w="2110" w:type="dxa"/>
            <w:vAlign w:val="center"/>
          </w:tcPr>
          <w:p>
            <w:pPr>
              <w:adjustRightInd w:val="0"/>
              <w:snapToGrid w:val="0"/>
              <w:jc w:val="center"/>
              <w:rPr>
                <w:color w:val="auto"/>
                <w:sz w:val="24"/>
              </w:rPr>
            </w:pPr>
            <w:r>
              <w:rPr>
                <w:b/>
                <w:bCs/>
                <w:color w:val="auto"/>
                <w:sz w:val="24"/>
              </w:rPr>
              <w:t>联系方式</w:t>
            </w:r>
          </w:p>
        </w:tc>
        <w:tc>
          <w:tcPr>
            <w:tcW w:w="2977" w:type="dxa"/>
            <w:vAlign w:val="center"/>
          </w:tcPr>
          <w:p>
            <w:pPr>
              <w:adjustRightInd w:val="0"/>
              <w:snapToGrid w:val="0"/>
              <w:jc w:val="center"/>
              <w:rPr>
                <w:color w:val="auto"/>
                <w:sz w:val="24"/>
              </w:rPr>
            </w:pPr>
            <w:r>
              <w:rPr>
                <w:color w:val="auto"/>
                <w:sz w:val="24"/>
              </w:rPr>
              <w:t>09547641211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60" w:type="dxa"/>
            <w:tcMar>
              <w:top w:w="16" w:type="dxa"/>
              <w:left w:w="16" w:type="dxa"/>
              <w:right w:w="16" w:type="dxa"/>
            </w:tcMar>
            <w:vAlign w:val="center"/>
          </w:tcPr>
          <w:p>
            <w:pPr>
              <w:adjustRightInd w:val="0"/>
              <w:snapToGrid w:val="0"/>
              <w:jc w:val="center"/>
              <w:rPr>
                <w:b/>
                <w:bCs/>
                <w:color w:val="auto"/>
                <w:sz w:val="24"/>
              </w:rPr>
            </w:pPr>
            <w:r>
              <w:rPr>
                <w:b/>
                <w:bCs/>
                <w:color w:val="auto"/>
                <w:sz w:val="24"/>
              </w:rPr>
              <w:t>建设地点</w:t>
            </w:r>
          </w:p>
        </w:tc>
        <w:tc>
          <w:tcPr>
            <w:tcW w:w="7796" w:type="dxa"/>
            <w:gridSpan w:val="3"/>
            <w:vAlign w:val="center"/>
          </w:tcPr>
          <w:p>
            <w:pPr>
              <w:adjustRightInd w:val="0"/>
              <w:snapToGrid w:val="0"/>
              <w:jc w:val="center"/>
              <w:rPr>
                <w:color w:val="auto"/>
                <w:sz w:val="24"/>
              </w:rPr>
            </w:pPr>
            <w:r>
              <w:rPr>
                <w:color w:val="auto"/>
                <w:sz w:val="24"/>
              </w:rPr>
              <w:t>宁夏回族自治区固原市彭阳县</w:t>
            </w:r>
            <w:r>
              <w:rPr>
                <w:rFonts w:hint="eastAsia"/>
                <w:color w:val="auto"/>
                <w:sz w:val="24"/>
              </w:rPr>
              <w:t>王洼</w:t>
            </w:r>
            <w:r>
              <w:rPr>
                <w:color w:val="auto"/>
                <w:sz w:val="24"/>
              </w:rPr>
              <w:t>镇</w:t>
            </w:r>
            <w:r>
              <w:rPr>
                <w:rFonts w:hint="eastAsia"/>
                <w:color w:val="auto"/>
                <w:sz w:val="24"/>
              </w:rPr>
              <w:t>王洼沟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60" w:type="dxa"/>
            <w:tcMar>
              <w:top w:w="16" w:type="dxa"/>
              <w:left w:w="16" w:type="dxa"/>
              <w:right w:w="16" w:type="dxa"/>
            </w:tcMar>
            <w:vAlign w:val="center"/>
          </w:tcPr>
          <w:p>
            <w:pPr>
              <w:adjustRightInd w:val="0"/>
              <w:snapToGrid w:val="0"/>
              <w:jc w:val="center"/>
              <w:rPr>
                <w:b/>
                <w:bCs/>
                <w:color w:val="auto"/>
                <w:sz w:val="24"/>
              </w:rPr>
            </w:pPr>
            <w:r>
              <w:rPr>
                <w:b/>
                <w:bCs/>
                <w:color w:val="auto"/>
                <w:sz w:val="24"/>
              </w:rPr>
              <w:t>地理坐标</w:t>
            </w:r>
          </w:p>
        </w:tc>
        <w:tc>
          <w:tcPr>
            <w:tcW w:w="7796" w:type="dxa"/>
            <w:gridSpan w:val="3"/>
            <w:vAlign w:val="center"/>
          </w:tcPr>
          <w:p>
            <w:pPr>
              <w:adjustRightInd w:val="0"/>
              <w:snapToGrid w:val="0"/>
              <w:rPr>
                <w:color w:val="auto"/>
                <w:sz w:val="24"/>
              </w:rPr>
            </w:pPr>
            <w:r>
              <w:rPr>
                <w:rFonts w:hint="eastAsia"/>
                <w:color w:val="auto"/>
                <w:sz w:val="24"/>
              </w:rPr>
              <w:t>项目区中心位置坐标：东经106</w:t>
            </w:r>
            <w:r>
              <w:rPr>
                <w:rFonts w:hint="eastAsia" w:ascii="宋体" w:hAnsi="宋体"/>
                <w:color w:val="auto"/>
                <w:sz w:val="24"/>
              </w:rPr>
              <w:t>°</w:t>
            </w:r>
            <w:r>
              <w:rPr>
                <w:rFonts w:hint="eastAsia"/>
                <w:color w:val="auto"/>
                <w:sz w:val="24"/>
              </w:rPr>
              <w:t>37′</w:t>
            </w:r>
            <w:r>
              <w:rPr>
                <w:color w:val="auto"/>
                <w:sz w:val="24"/>
              </w:rPr>
              <w:t>11.7507</w:t>
            </w:r>
            <w:r>
              <w:rPr>
                <w:rFonts w:hint="eastAsia"/>
                <w:color w:val="auto"/>
                <w:sz w:val="24"/>
              </w:rPr>
              <w:t>″，北纬36</w:t>
            </w:r>
            <w:r>
              <w:rPr>
                <w:rFonts w:hint="eastAsia" w:ascii="宋体" w:hAnsi="宋体"/>
                <w:color w:val="auto"/>
                <w:sz w:val="24"/>
              </w:rPr>
              <w:t>°</w:t>
            </w:r>
            <w:r>
              <w:rPr>
                <w:color w:val="auto"/>
                <w:sz w:val="24"/>
              </w:rPr>
              <w:t>7</w:t>
            </w:r>
            <w:r>
              <w:rPr>
                <w:rFonts w:hint="eastAsia"/>
                <w:color w:val="auto"/>
                <w:sz w:val="24"/>
              </w:rPr>
              <w:t>′</w:t>
            </w:r>
            <w:r>
              <w:rPr>
                <w:color w:val="auto"/>
                <w:sz w:val="24"/>
              </w:rPr>
              <w:t>26.0969</w:t>
            </w: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560" w:type="dxa"/>
            <w:tcMar>
              <w:top w:w="16" w:type="dxa"/>
              <w:left w:w="16" w:type="dxa"/>
              <w:right w:w="16" w:type="dxa"/>
            </w:tcMar>
            <w:vAlign w:val="center"/>
          </w:tcPr>
          <w:p>
            <w:pPr>
              <w:adjustRightInd w:val="0"/>
              <w:snapToGrid w:val="0"/>
              <w:jc w:val="center"/>
              <w:rPr>
                <w:b/>
                <w:bCs/>
                <w:color w:val="auto"/>
                <w:sz w:val="24"/>
              </w:rPr>
            </w:pPr>
            <w:r>
              <w:rPr>
                <w:rFonts w:hint="eastAsia"/>
                <w:b/>
                <w:bCs/>
                <w:color w:val="auto"/>
                <w:sz w:val="24"/>
              </w:rPr>
              <w:t>国民经济</w:t>
            </w:r>
          </w:p>
          <w:p>
            <w:pPr>
              <w:adjustRightInd w:val="0"/>
              <w:snapToGrid w:val="0"/>
              <w:jc w:val="center"/>
              <w:rPr>
                <w:b/>
                <w:bCs/>
                <w:color w:val="auto"/>
                <w:sz w:val="24"/>
              </w:rPr>
            </w:pPr>
            <w:r>
              <w:rPr>
                <w:rFonts w:hint="eastAsia"/>
                <w:b/>
                <w:bCs/>
                <w:color w:val="auto"/>
                <w:sz w:val="24"/>
              </w:rPr>
              <w:t>行业类别</w:t>
            </w:r>
          </w:p>
        </w:tc>
        <w:tc>
          <w:tcPr>
            <w:tcW w:w="2709" w:type="dxa"/>
            <w:vAlign w:val="center"/>
          </w:tcPr>
          <w:p>
            <w:pPr>
              <w:jc w:val="center"/>
              <w:rPr>
                <w:rFonts w:eastAsia="Times New Roman"/>
                <w:color w:val="auto"/>
                <w:sz w:val="24"/>
              </w:rPr>
            </w:pPr>
            <w:r>
              <w:rPr>
                <w:rFonts w:hint="eastAsia" w:eastAsia="Times New Roman"/>
                <w:color w:val="auto"/>
                <w:sz w:val="24"/>
              </w:rPr>
              <w:t>N7610</w:t>
            </w:r>
          </w:p>
          <w:p>
            <w:pPr>
              <w:jc w:val="center"/>
              <w:rPr>
                <w:color w:val="auto"/>
                <w:sz w:val="24"/>
              </w:rPr>
            </w:pPr>
            <w:r>
              <w:rPr>
                <w:rFonts w:eastAsia="Times New Roman"/>
                <w:color w:val="auto"/>
                <w:sz w:val="24"/>
              </w:rPr>
              <w:t>防洪除涝设施管理</w:t>
            </w:r>
          </w:p>
        </w:tc>
        <w:tc>
          <w:tcPr>
            <w:tcW w:w="2110" w:type="dxa"/>
            <w:vAlign w:val="center"/>
          </w:tcPr>
          <w:p>
            <w:pPr>
              <w:adjustRightInd w:val="0"/>
              <w:snapToGrid w:val="0"/>
              <w:jc w:val="center"/>
              <w:rPr>
                <w:b/>
                <w:bCs/>
                <w:color w:val="auto"/>
                <w:sz w:val="24"/>
              </w:rPr>
            </w:pPr>
            <w:r>
              <w:rPr>
                <w:b/>
                <w:bCs/>
                <w:color w:val="auto"/>
                <w:sz w:val="24"/>
              </w:rPr>
              <w:t>建设项目</w:t>
            </w:r>
          </w:p>
          <w:p>
            <w:pPr>
              <w:adjustRightInd w:val="0"/>
              <w:snapToGrid w:val="0"/>
              <w:jc w:val="center"/>
              <w:rPr>
                <w:color w:val="auto"/>
                <w:sz w:val="24"/>
              </w:rPr>
            </w:pPr>
            <w:r>
              <w:rPr>
                <w:b/>
                <w:bCs/>
                <w:color w:val="auto"/>
                <w:sz w:val="24"/>
              </w:rPr>
              <w:t>行业类别</w:t>
            </w:r>
          </w:p>
        </w:tc>
        <w:tc>
          <w:tcPr>
            <w:tcW w:w="2977" w:type="dxa"/>
            <w:vAlign w:val="center"/>
          </w:tcPr>
          <w:p>
            <w:pPr>
              <w:jc w:val="left"/>
              <w:rPr>
                <w:color w:val="auto"/>
                <w:sz w:val="24"/>
              </w:rPr>
            </w:pPr>
            <w:r>
              <w:rPr>
                <w:rFonts w:hint="eastAsia" w:eastAsia="Times New Roman"/>
                <w:color w:val="auto"/>
                <w:sz w:val="24"/>
              </w:rPr>
              <w:t>“</w:t>
            </w:r>
            <w:r>
              <w:rPr>
                <w:rFonts w:hint="eastAsia" w:ascii="宋体" w:hAnsi="宋体" w:cs="宋体"/>
                <w:color w:val="auto"/>
                <w:sz w:val="24"/>
              </w:rPr>
              <w:t>五十一、水利</w:t>
            </w:r>
            <w:r>
              <w:rPr>
                <w:rFonts w:hint="eastAsia" w:asciiTheme="minorEastAsia" w:hAnsiTheme="minorEastAsia" w:eastAsiaTheme="minorEastAsia"/>
                <w:color w:val="auto"/>
                <w:sz w:val="24"/>
              </w:rPr>
              <w:t>—</w:t>
            </w:r>
            <w:r>
              <w:rPr>
                <w:rFonts w:hint="eastAsia" w:eastAsia="Times New Roman"/>
                <w:color w:val="auto"/>
                <w:sz w:val="24"/>
              </w:rPr>
              <w:t>127</w:t>
            </w:r>
            <w:r>
              <w:rPr>
                <w:rFonts w:hint="eastAsia" w:ascii="宋体" w:hAnsi="宋体" w:cs="宋体"/>
                <w:color w:val="auto"/>
                <w:sz w:val="24"/>
              </w:rPr>
              <w:t>防洪除涝工程</w:t>
            </w:r>
            <w:r>
              <w:rPr>
                <w:rFonts w:hint="eastAsia" w:eastAsia="Times New Roman"/>
                <w:color w:val="auto"/>
                <w:sz w:val="24"/>
              </w:rPr>
              <w:t>”</w:t>
            </w:r>
            <w:r>
              <w:rPr>
                <w:rFonts w:hint="eastAsia" w:ascii="宋体" w:hAnsi="宋体" w:cs="宋体"/>
                <w:color w:val="auto"/>
                <w:sz w:val="24"/>
              </w:rPr>
              <w:t>中的“其他（小型沟渠的护坡除外；城镇排涝河流水闸、排涝泵站除外）”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60" w:type="dxa"/>
            <w:tcMar>
              <w:top w:w="16" w:type="dxa"/>
              <w:left w:w="16" w:type="dxa"/>
              <w:right w:w="16" w:type="dxa"/>
            </w:tcMar>
            <w:vAlign w:val="center"/>
          </w:tcPr>
          <w:p>
            <w:pPr>
              <w:adjustRightInd w:val="0"/>
              <w:snapToGrid w:val="0"/>
              <w:jc w:val="center"/>
              <w:rPr>
                <w:b/>
                <w:bCs/>
                <w:color w:val="auto"/>
                <w:sz w:val="24"/>
              </w:rPr>
            </w:pPr>
            <w:r>
              <w:rPr>
                <w:b/>
                <w:bCs/>
                <w:color w:val="auto"/>
                <w:sz w:val="24"/>
              </w:rPr>
              <w:t>建设性质</w:t>
            </w:r>
          </w:p>
        </w:tc>
        <w:tc>
          <w:tcPr>
            <w:tcW w:w="2709" w:type="dxa"/>
            <w:vAlign w:val="center"/>
          </w:tcPr>
          <w:p>
            <w:pPr>
              <w:adjustRightInd w:val="0"/>
              <w:snapToGrid w:val="0"/>
              <w:jc w:val="left"/>
              <w:rPr>
                <w:color w:val="auto"/>
                <w:sz w:val="24"/>
              </w:rPr>
            </w:pPr>
            <w:r>
              <w:rPr>
                <w:color w:val="auto"/>
                <w:sz w:val="24"/>
              </w:rPr>
              <w:sym w:font="Wingdings 2" w:char="0052"/>
            </w:r>
            <w:r>
              <w:rPr>
                <w:color w:val="auto"/>
                <w:sz w:val="24"/>
              </w:rPr>
              <w:t>新建（迁建）</w:t>
            </w:r>
          </w:p>
          <w:p>
            <w:pPr>
              <w:adjustRightInd w:val="0"/>
              <w:snapToGrid w:val="0"/>
              <w:jc w:val="left"/>
              <w:rPr>
                <w:color w:val="auto"/>
                <w:sz w:val="24"/>
              </w:rPr>
            </w:pPr>
            <w:r>
              <w:rPr>
                <w:rFonts w:hint="eastAsia"/>
                <w:color w:val="auto"/>
                <w:sz w:val="24"/>
              </w:rPr>
              <w:t>□</w:t>
            </w:r>
            <w:r>
              <w:rPr>
                <w:color w:val="auto"/>
                <w:sz w:val="24"/>
              </w:rPr>
              <w:t>改建</w:t>
            </w:r>
          </w:p>
          <w:p>
            <w:pPr>
              <w:adjustRightInd w:val="0"/>
              <w:snapToGrid w:val="0"/>
              <w:jc w:val="left"/>
              <w:rPr>
                <w:color w:val="auto"/>
                <w:sz w:val="24"/>
              </w:rPr>
            </w:pPr>
            <w:r>
              <w:rPr>
                <w:rFonts w:hint="eastAsia"/>
                <w:color w:val="auto"/>
                <w:sz w:val="24"/>
              </w:rPr>
              <w:t>□</w:t>
            </w:r>
            <w:r>
              <w:rPr>
                <w:color w:val="auto"/>
                <w:sz w:val="24"/>
              </w:rPr>
              <w:t>扩建</w:t>
            </w:r>
          </w:p>
          <w:p>
            <w:pPr>
              <w:adjustRightInd w:val="0"/>
              <w:snapToGrid w:val="0"/>
              <w:jc w:val="left"/>
              <w:rPr>
                <w:color w:val="auto"/>
                <w:sz w:val="24"/>
              </w:rPr>
            </w:pPr>
            <w:r>
              <w:rPr>
                <w:rFonts w:hint="eastAsia"/>
                <w:color w:val="auto"/>
                <w:sz w:val="24"/>
              </w:rPr>
              <w:t>□</w:t>
            </w:r>
            <w:r>
              <w:rPr>
                <w:color w:val="auto"/>
                <w:sz w:val="24"/>
              </w:rPr>
              <w:t>技术改造</w:t>
            </w:r>
          </w:p>
        </w:tc>
        <w:tc>
          <w:tcPr>
            <w:tcW w:w="2110" w:type="dxa"/>
            <w:vAlign w:val="center"/>
          </w:tcPr>
          <w:p>
            <w:pPr>
              <w:adjustRightInd w:val="0"/>
              <w:snapToGrid w:val="0"/>
              <w:jc w:val="center"/>
              <w:rPr>
                <w:b/>
                <w:bCs/>
                <w:color w:val="auto"/>
                <w:sz w:val="24"/>
              </w:rPr>
            </w:pPr>
            <w:r>
              <w:rPr>
                <w:b/>
                <w:bCs/>
                <w:color w:val="auto"/>
                <w:sz w:val="24"/>
              </w:rPr>
              <w:t>建设项目</w:t>
            </w:r>
          </w:p>
          <w:p>
            <w:pPr>
              <w:adjustRightInd w:val="0"/>
              <w:snapToGrid w:val="0"/>
              <w:jc w:val="center"/>
              <w:rPr>
                <w:b/>
                <w:bCs/>
                <w:color w:val="auto"/>
                <w:sz w:val="24"/>
              </w:rPr>
            </w:pPr>
            <w:r>
              <w:rPr>
                <w:b/>
                <w:bCs/>
                <w:color w:val="auto"/>
                <w:sz w:val="24"/>
              </w:rPr>
              <w:t>申报情形</w:t>
            </w:r>
          </w:p>
        </w:tc>
        <w:tc>
          <w:tcPr>
            <w:tcW w:w="2977" w:type="dxa"/>
            <w:vAlign w:val="center"/>
          </w:tcPr>
          <w:p>
            <w:pPr>
              <w:adjustRightInd w:val="0"/>
              <w:snapToGrid w:val="0"/>
              <w:jc w:val="left"/>
              <w:rPr>
                <w:color w:val="auto"/>
                <w:sz w:val="24"/>
              </w:rPr>
            </w:pPr>
            <w:r>
              <w:rPr>
                <w:color w:val="auto"/>
                <w:sz w:val="24"/>
              </w:rPr>
              <w:sym w:font="Wingdings 2" w:char="0052"/>
            </w:r>
            <w:r>
              <w:rPr>
                <w:color w:val="auto"/>
                <w:sz w:val="24"/>
              </w:rPr>
              <w:t>首次申报项目</w:t>
            </w:r>
          </w:p>
          <w:p>
            <w:pPr>
              <w:adjustRightInd w:val="0"/>
              <w:snapToGrid w:val="0"/>
              <w:jc w:val="left"/>
              <w:rPr>
                <w:color w:val="auto"/>
                <w:sz w:val="24"/>
              </w:rPr>
            </w:pPr>
            <w:r>
              <w:rPr>
                <w:rFonts w:hint="eastAsia"/>
                <w:color w:val="auto"/>
                <w:sz w:val="24"/>
              </w:rPr>
              <w:t>□</w:t>
            </w:r>
            <w:r>
              <w:rPr>
                <w:color w:val="auto"/>
                <w:sz w:val="24"/>
              </w:rPr>
              <w:t>不予批准后再次申报项目</w:t>
            </w:r>
          </w:p>
          <w:p>
            <w:pPr>
              <w:adjustRightInd w:val="0"/>
              <w:snapToGrid w:val="0"/>
              <w:jc w:val="left"/>
              <w:rPr>
                <w:color w:val="auto"/>
                <w:sz w:val="24"/>
              </w:rPr>
            </w:pPr>
            <w:r>
              <w:rPr>
                <w:rFonts w:hint="eastAsia"/>
                <w:color w:val="auto"/>
                <w:sz w:val="24"/>
              </w:rPr>
              <w:t>□</w:t>
            </w:r>
            <w:r>
              <w:rPr>
                <w:color w:val="auto"/>
                <w:sz w:val="24"/>
              </w:rPr>
              <w:t>超五年重新审核项目</w:t>
            </w:r>
          </w:p>
          <w:p>
            <w:pPr>
              <w:adjustRightInd w:val="0"/>
              <w:snapToGrid w:val="0"/>
              <w:rPr>
                <w:color w:val="auto"/>
                <w:sz w:val="24"/>
              </w:rPr>
            </w:pPr>
            <w:r>
              <w:rPr>
                <w:rFonts w:hint="eastAsia"/>
                <w:color w:val="auto"/>
                <w:sz w:val="24"/>
              </w:rPr>
              <w:t>□</w:t>
            </w: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8" w:hRule="atLeast"/>
        </w:trPr>
        <w:tc>
          <w:tcPr>
            <w:tcW w:w="1560" w:type="dxa"/>
            <w:tcMar>
              <w:top w:w="16" w:type="dxa"/>
              <w:left w:w="16" w:type="dxa"/>
              <w:right w:w="16" w:type="dxa"/>
            </w:tcMar>
            <w:vAlign w:val="center"/>
          </w:tcPr>
          <w:p>
            <w:pPr>
              <w:adjustRightInd w:val="0"/>
              <w:snapToGrid w:val="0"/>
              <w:jc w:val="center"/>
              <w:rPr>
                <w:b/>
                <w:bCs/>
                <w:color w:val="auto"/>
                <w:sz w:val="24"/>
              </w:rPr>
            </w:pPr>
            <w:r>
              <w:rPr>
                <w:b/>
                <w:bCs/>
                <w:color w:val="auto"/>
                <w:sz w:val="24"/>
              </w:rPr>
              <w:t>项目审批（核准/备案）部门</w:t>
            </w:r>
          </w:p>
        </w:tc>
        <w:tc>
          <w:tcPr>
            <w:tcW w:w="2709" w:type="dxa"/>
            <w:vAlign w:val="center"/>
          </w:tcPr>
          <w:p>
            <w:pPr>
              <w:adjustRightInd w:val="0"/>
              <w:snapToGrid w:val="0"/>
              <w:jc w:val="center"/>
              <w:rPr>
                <w:color w:val="auto"/>
                <w:sz w:val="24"/>
              </w:rPr>
            </w:pPr>
            <w:r>
              <w:rPr>
                <w:rFonts w:hint="eastAsia"/>
                <w:color w:val="auto"/>
                <w:sz w:val="24"/>
              </w:rPr>
              <w:t>--</w:t>
            </w:r>
          </w:p>
        </w:tc>
        <w:tc>
          <w:tcPr>
            <w:tcW w:w="2110" w:type="dxa"/>
            <w:vAlign w:val="center"/>
          </w:tcPr>
          <w:p>
            <w:pPr>
              <w:adjustRightInd w:val="0"/>
              <w:snapToGrid w:val="0"/>
              <w:jc w:val="center"/>
              <w:rPr>
                <w:b/>
                <w:bCs/>
                <w:color w:val="auto"/>
                <w:sz w:val="24"/>
              </w:rPr>
            </w:pPr>
            <w:r>
              <w:rPr>
                <w:b/>
                <w:bCs/>
                <w:color w:val="auto"/>
                <w:sz w:val="24"/>
              </w:rPr>
              <w:t>项目审批（核准/</w:t>
            </w:r>
          </w:p>
          <w:p>
            <w:pPr>
              <w:adjustRightInd w:val="0"/>
              <w:snapToGrid w:val="0"/>
              <w:jc w:val="center"/>
              <w:rPr>
                <w:b/>
                <w:bCs/>
                <w:color w:val="auto"/>
                <w:sz w:val="24"/>
              </w:rPr>
            </w:pPr>
            <w:r>
              <w:rPr>
                <w:b/>
                <w:bCs/>
                <w:color w:val="auto"/>
                <w:sz w:val="24"/>
              </w:rPr>
              <w:t>备案）文号</w:t>
            </w:r>
          </w:p>
        </w:tc>
        <w:tc>
          <w:tcPr>
            <w:tcW w:w="2977" w:type="dxa"/>
            <w:vAlign w:val="center"/>
          </w:tcPr>
          <w:p>
            <w:pPr>
              <w:adjustRightInd w:val="0"/>
              <w:snapToGrid w:val="0"/>
              <w:jc w:val="center"/>
              <w:rPr>
                <w:color w:val="auto"/>
                <w:sz w:val="24"/>
              </w:rPr>
            </w:pP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1" w:hRule="atLeast"/>
        </w:trPr>
        <w:tc>
          <w:tcPr>
            <w:tcW w:w="1560" w:type="dxa"/>
            <w:tcMar>
              <w:top w:w="16" w:type="dxa"/>
              <w:left w:w="16" w:type="dxa"/>
              <w:right w:w="16" w:type="dxa"/>
            </w:tcMar>
            <w:vAlign w:val="center"/>
          </w:tcPr>
          <w:p>
            <w:pPr>
              <w:adjustRightInd w:val="0"/>
              <w:snapToGrid w:val="0"/>
              <w:jc w:val="center"/>
              <w:rPr>
                <w:b/>
                <w:bCs/>
                <w:color w:val="auto"/>
                <w:sz w:val="24"/>
              </w:rPr>
            </w:pPr>
            <w:r>
              <w:rPr>
                <w:b/>
                <w:bCs/>
                <w:color w:val="auto"/>
                <w:sz w:val="24"/>
              </w:rPr>
              <w:t>总投资（万元）</w:t>
            </w:r>
          </w:p>
        </w:tc>
        <w:tc>
          <w:tcPr>
            <w:tcW w:w="2709" w:type="dxa"/>
            <w:vAlign w:val="center"/>
          </w:tcPr>
          <w:p>
            <w:pPr>
              <w:adjustRightInd w:val="0"/>
              <w:snapToGrid w:val="0"/>
              <w:jc w:val="center"/>
              <w:rPr>
                <w:color w:val="auto"/>
                <w:sz w:val="24"/>
              </w:rPr>
            </w:pPr>
            <w:r>
              <w:rPr>
                <w:bCs/>
                <w:color w:val="auto"/>
                <w:sz w:val="24"/>
              </w:rPr>
              <w:t>1259.52</w:t>
            </w:r>
          </w:p>
        </w:tc>
        <w:tc>
          <w:tcPr>
            <w:tcW w:w="2110" w:type="dxa"/>
            <w:tcMar>
              <w:top w:w="16" w:type="dxa"/>
              <w:left w:w="16" w:type="dxa"/>
              <w:right w:w="16" w:type="dxa"/>
            </w:tcMar>
            <w:vAlign w:val="center"/>
          </w:tcPr>
          <w:p>
            <w:pPr>
              <w:adjustRightInd w:val="0"/>
              <w:snapToGrid w:val="0"/>
              <w:jc w:val="center"/>
              <w:rPr>
                <w:b/>
                <w:bCs/>
                <w:color w:val="auto"/>
                <w:sz w:val="24"/>
              </w:rPr>
            </w:pPr>
            <w:r>
              <w:rPr>
                <w:b/>
                <w:bCs/>
                <w:color w:val="auto"/>
                <w:sz w:val="24"/>
              </w:rPr>
              <w:t>环保投资（万元）</w:t>
            </w:r>
          </w:p>
        </w:tc>
        <w:tc>
          <w:tcPr>
            <w:tcW w:w="2977" w:type="dxa"/>
            <w:vAlign w:val="center"/>
          </w:tcPr>
          <w:p>
            <w:pPr>
              <w:adjustRightInd w:val="0"/>
              <w:snapToGrid w:val="0"/>
              <w:jc w:val="center"/>
              <w:rPr>
                <w:color w:val="auto"/>
                <w:sz w:val="24"/>
              </w:rPr>
            </w:pPr>
            <w:r>
              <w:rPr>
                <w:color w:val="auto"/>
                <w:sz w:val="24"/>
              </w:rPr>
              <w:t>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3" w:hRule="atLeast"/>
        </w:trPr>
        <w:tc>
          <w:tcPr>
            <w:tcW w:w="1560" w:type="dxa"/>
            <w:tcMar>
              <w:top w:w="16" w:type="dxa"/>
              <w:left w:w="16" w:type="dxa"/>
              <w:right w:w="16" w:type="dxa"/>
            </w:tcMar>
            <w:vAlign w:val="center"/>
          </w:tcPr>
          <w:p>
            <w:pPr>
              <w:adjustRightInd w:val="0"/>
              <w:snapToGrid w:val="0"/>
              <w:jc w:val="center"/>
              <w:rPr>
                <w:b/>
                <w:bCs/>
                <w:color w:val="auto"/>
                <w:sz w:val="24"/>
              </w:rPr>
            </w:pPr>
            <w:r>
              <w:rPr>
                <w:b/>
                <w:bCs/>
                <w:color w:val="auto"/>
                <w:sz w:val="24"/>
              </w:rPr>
              <w:t>环保投资占比（%）</w:t>
            </w:r>
          </w:p>
        </w:tc>
        <w:tc>
          <w:tcPr>
            <w:tcW w:w="2709" w:type="dxa"/>
            <w:vAlign w:val="center"/>
          </w:tcPr>
          <w:p>
            <w:pPr>
              <w:adjustRightInd w:val="0"/>
              <w:snapToGrid w:val="0"/>
              <w:jc w:val="center"/>
              <w:rPr>
                <w:color w:val="auto"/>
                <w:sz w:val="24"/>
              </w:rPr>
            </w:pPr>
          </w:p>
        </w:tc>
        <w:tc>
          <w:tcPr>
            <w:tcW w:w="2110" w:type="dxa"/>
            <w:tcMar>
              <w:top w:w="16" w:type="dxa"/>
              <w:left w:w="16" w:type="dxa"/>
              <w:right w:w="16" w:type="dxa"/>
            </w:tcMar>
            <w:vAlign w:val="center"/>
          </w:tcPr>
          <w:p>
            <w:pPr>
              <w:adjustRightInd w:val="0"/>
              <w:snapToGrid w:val="0"/>
              <w:jc w:val="center"/>
              <w:rPr>
                <w:b/>
                <w:bCs/>
                <w:color w:val="auto"/>
                <w:sz w:val="24"/>
              </w:rPr>
            </w:pPr>
            <w:r>
              <w:rPr>
                <w:b/>
                <w:bCs/>
                <w:color w:val="auto"/>
                <w:sz w:val="24"/>
              </w:rPr>
              <w:t>施工工期</w:t>
            </w:r>
          </w:p>
        </w:tc>
        <w:tc>
          <w:tcPr>
            <w:tcW w:w="2977" w:type="dxa"/>
            <w:vAlign w:val="center"/>
          </w:tcPr>
          <w:p>
            <w:pPr>
              <w:adjustRightInd w:val="0"/>
              <w:snapToGrid w:val="0"/>
              <w:jc w:val="center"/>
              <w:rPr>
                <w:color w:val="auto"/>
                <w:sz w:val="24"/>
              </w:rPr>
            </w:pPr>
            <w:r>
              <w:rPr>
                <w:rFonts w:hint="eastAsia"/>
                <w:color w:val="auto"/>
                <w:sz w:val="24"/>
              </w:rPr>
              <w:t>4</w:t>
            </w:r>
            <w:r>
              <w:rPr>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0" w:type="dxa"/>
            <w:tcMar>
              <w:top w:w="16" w:type="dxa"/>
              <w:left w:w="16" w:type="dxa"/>
              <w:right w:w="16" w:type="dxa"/>
            </w:tcMar>
            <w:vAlign w:val="center"/>
          </w:tcPr>
          <w:p>
            <w:pPr>
              <w:adjustRightInd w:val="0"/>
              <w:snapToGrid w:val="0"/>
              <w:jc w:val="center"/>
              <w:rPr>
                <w:b/>
                <w:bCs/>
                <w:color w:val="auto"/>
                <w:sz w:val="24"/>
              </w:rPr>
            </w:pPr>
            <w:r>
              <w:rPr>
                <w:b/>
                <w:bCs/>
                <w:color w:val="auto"/>
                <w:sz w:val="24"/>
              </w:rPr>
              <w:t>是否开工建设</w:t>
            </w:r>
          </w:p>
        </w:tc>
        <w:tc>
          <w:tcPr>
            <w:tcW w:w="2709" w:type="dxa"/>
            <w:vAlign w:val="center"/>
          </w:tcPr>
          <w:p>
            <w:pPr>
              <w:adjustRightInd w:val="0"/>
              <w:snapToGrid w:val="0"/>
              <w:ind w:firstLine="105"/>
              <w:jc w:val="left"/>
              <w:rPr>
                <w:color w:val="auto"/>
                <w:sz w:val="24"/>
              </w:rPr>
            </w:pPr>
            <w:r>
              <w:rPr>
                <w:color w:val="auto"/>
                <w:sz w:val="24"/>
              </w:rPr>
              <w:sym w:font="Wingdings 2" w:char="0052"/>
            </w:r>
            <w:r>
              <w:rPr>
                <w:color w:val="auto"/>
                <w:sz w:val="24"/>
              </w:rPr>
              <w:t>否</w:t>
            </w:r>
          </w:p>
          <w:p>
            <w:pPr>
              <w:adjustRightInd w:val="0"/>
              <w:snapToGrid w:val="0"/>
              <w:ind w:firstLine="92"/>
              <w:jc w:val="left"/>
              <w:rPr>
                <w:color w:val="auto"/>
                <w:sz w:val="24"/>
              </w:rPr>
            </w:pPr>
            <w:r>
              <w:rPr>
                <w:rFonts w:hint="eastAsia"/>
                <w:color w:val="auto"/>
                <w:sz w:val="24"/>
              </w:rPr>
              <w:t>□</w:t>
            </w:r>
            <w:r>
              <w:rPr>
                <w:color w:val="auto"/>
                <w:sz w:val="24"/>
              </w:rPr>
              <w:t>是：</w:t>
            </w:r>
            <w:r>
              <w:rPr>
                <w:color w:val="auto"/>
                <w:sz w:val="24"/>
                <w:u w:val="single"/>
              </w:rPr>
              <w:t xml:space="preserve">       </w:t>
            </w:r>
          </w:p>
        </w:tc>
        <w:tc>
          <w:tcPr>
            <w:tcW w:w="2110" w:type="dxa"/>
            <w:vAlign w:val="center"/>
          </w:tcPr>
          <w:p>
            <w:pPr>
              <w:adjustRightInd w:val="0"/>
              <w:snapToGrid w:val="0"/>
              <w:jc w:val="center"/>
              <w:rPr>
                <w:color w:val="auto"/>
                <w:sz w:val="24"/>
              </w:rPr>
            </w:pPr>
            <w:r>
              <w:rPr>
                <w:b/>
                <w:bCs/>
                <w:color w:val="auto"/>
                <w:sz w:val="24"/>
              </w:rPr>
              <w:t>用地（用海）面积（m</w:t>
            </w:r>
            <w:r>
              <w:rPr>
                <w:b/>
                <w:bCs/>
                <w:color w:val="auto"/>
                <w:sz w:val="24"/>
                <w:vertAlign w:val="superscript"/>
              </w:rPr>
              <w:t>2</w:t>
            </w:r>
            <w:r>
              <w:rPr>
                <w:b/>
                <w:bCs/>
                <w:color w:val="auto"/>
                <w:sz w:val="24"/>
              </w:rPr>
              <w:t>）/长度（km）</w:t>
            </w:r>
          </w:p>
        </w:tc>
        <w:tc>
          <w:tcPr>
            <w:tcW w:w="2977" w:type="dxa"/>
            <w:vAlign w:val="center"/>
          </w:tcPr>
          <w:p>
            <w:pPr>
              <w:adjustRightInd w:val="0"/>
              <w:snapToGrid w:val="0"/>
              <w:jc w:val="cente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2" w:hRule="atLeast"/>
        </w:trPr>
        <w:tc>
          <w:tcPr>
            <w:tcW w:w="1560" w:type="dxa"/>
            <w:tcMar>
              <w:top w:w="16" w:type="dxa"/>
              <w:left w:w="16" w:type="dxa"/>
              <w:right w:w="16" w:type="dxa"/>
            </w:tcMar>
            <w:vAlign w:val="center"/>
          </w:tcPr>
          <w:p>
            <w:pPr>
              <w:autoSpaceDE w:val="0"/>
              <w:autoSpaceDN w:val="0"/>
              <w:adjustRightInd w:val="0"/>
              <w:snapToGrid w:val="0"/>
              <w:jc w:val="center"/>
              <w:rPr>
                <w:b/>
                <w:bCs/>
                <w:color w:val="auto"/>
                <w:kern w:val="0"/>
                <w:sz w:val="24"/>
              </w:rPr>
            </w:pPr>
            <w:r>
              <w:rPr>
                <w:rFonts w:hint="eastAsia"/>
                <w:b/>
                <w:bCs/>
                <w:color w:val="auto"/>
                <w:kern w:val="0"/>
                <w:sz w:val="24"/>
              </w:rPr>
              <w:t>1</w:t>
            </w:r>
            <w:r>
              <w:rPr>
                <w:b/>
                <w:bCs/>
                <w:color w:val="auto"/>
                <w:kern w:val="0"/>
                <w:sz w:val="24"/>
              </w:rPr>
              <w:t>.1专项评价设置情况</w:t>
            </w:r>
          </w:p>
        </w:tc>
        <w:tc>
          <w:tcPr>
            <w:tcW w:w="7796" w:type="dxa"/>
            <w:gridSpan w:val="3"/>
            <w:tcMar>
              <w:top w:w="16" w:type="dxa"/>
              <w:left w:w="16" w:type="dxa"/>
              <w:right w:w="16" w:type="dxa"/>
            </w:tcMar>
            <w:vAlign w:val="center"/>
          </w:tcPr>
          <w:p>
            <w:pPr>
              <w:adjustRightInd w:val="0"/>
              <w:snapToGrid w:val="0"/>
              <w:spacing w:line="360" w:lineRule="auto"/>
              <w:ind w:firstLine="480" w:firstLineChars="200"/>
              <w:jc w:val="left"/>
              <w:rPr>
                <w:color w:val="auto"/>
                <w:sz w:val="24"/>
              </w:rPr>
            </w:pPr>
            <w:r>
              <w:rPr>
                <w:rFonts w:hint="eastAsia"/>
                <w:color w:val="auto"/>
                <w:sz w:val="24"/>
              </w:rPr>
              <w:t>根据《建设项目环境影响评价分类管理名录》，本项目属于防洪治理工程，结合本项目影响特点及后续管理要求，本次评价执行《建设项目环境影响报告表编制技术指南（生态影响类）（试行）》，根据专项评价设置原则，本次评价不设置专项评价，具体见表1-</w:t>
            </w:r>
            <w:r>
              <w:rPr>
                <w:color w:val="auto"/>
                <w:sz w:val="24"/>
              </w:rPr>
              <w:t>1</w:t>
            </w:r>
            <w:r>
              <w:rPr>
                <w:rFonts w:hint="eastAsia"/>
                <w:color w:val="auto"/>
                <w:sz w:val="24"/>
              </w:rPr>
              <w:t>。</w:t>
            </w:r>
          </w:p>
          <w:p>
            <w:pPr>
              <w:adjustRightInd w:val="0"/>
              <w:snapToGrid w:val="0"/>
              <w:ind w:firstLine="482" w:firstLineChars="200"/>
              <w:rPr>
                <w:b/>
                <w:bCs/>
                <w:color w:val="auto"/>
                <w:sz w:val="24"/>
              </w:rPr>
            </w:pPr>
            <w:r>
              <w:rPr>
                <w:rFonts w:hint="eastAsia"/>
                <w:b/>
                <w:bCs/>
                <w:color w:val="auto"/>
                <w:sz w:val="24"/>
              </w:rPr>
              <w:t>表1-</w:t>
            </w:r>
            <w:r>
              <w:rPr>
                <w:b/>
                <w:bCs/>
                <w:color w:val="auto"/>
                <w:sz w:val="24"/>
              </w:rPr>
              <w:t xml:space="preserve">1    </w:t>
            </w:r>
            <w:r>
              <w:rPr>
                <w:rFonts w:hint="eastAsia"/>
                <w:b/>
                <w:bCs/>
                <w:color w:val="auto"/>
                <w:sz w:val="24"/>
              </w:rPr>
              <w:t xml:space="preserve">      本项目与专项评价设置原则对照表</w:t>
            </w:r>
          </w:p>
          <w:tbl>
            <w:tblPr>
              <w:tblStyle w:val="19"/>
              <w:tblW w:w="722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8"/>
              <w:gridCol w:w="4820"/>
              <w:gridCol w:w="11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6" w:hRule="atLeast"/>
              </w:trPr>
              <w:tc>
                <w:tcPr>
                  <w:tcW w:w="1268" w:type="dxa"/>
                  <w:tcBorders>
                    <w:tl2br w:val="nil"/>
                    <w:tr2bl w:val="nil"/>
                  </w:tcBorders>
                  <w:vAlign w:val="center"/>
                </w:tcPr>
                <w:p>
                  <w:pPr>
                    <w:widowControl/>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专项评价的类别</w:t>
                  </w:r>
                </w:p>
              </w:tc>
              <w:tc>
                <w:tcPr>
                  <w:tcW w:w="4820" w:type="dxa"/>
                  <w:tcBorders>
                    <w:tl2br w:val="nil"/>
                    <w:tr2bl w:val="nil"/>
                  </w:tcBorders>
                  <w:vAlign w:val="center"/>
                </w:tcPr>
                <w:p>
                  <w:pPr>
                    <w:widowControl/>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涉及项目类别</w:t>
                  </w:r>
                </w:p>
              </w:tc>
              <w:tc>
                <w:tcPr>
                  <w:tcW w:w="1134" w:type="dxa"/>
                  <w:tcBorders>
                    <w:tl2br w:val="nil"/>
                    <w:tr2bl w:val="nil"/>
                  </w:tcBorders>
                  <w:vAlign w:val="center"/>
                </w:tcPr>
                <w:p>
                  <w:pPr>
                    <w:widowControl/>
                    <w:adjustRightInd w:val="0"/>
                    <w:snapToGrid w:val="0"/>
                    <w:rPr>
                      <w:rFonts w:ascii="宋体" w:hAnsi="宋体" w:cs="宋体"/>
                      <w:b/>
                      <w:bCs/>
                      <w:color w:val="auto"/>
                      <w:kern w:val="0"/>
                      <w:szCs w:val="21"/>
                    </w:rPr>
                  </w:pPr>
                  <w:r>
                    <w:rPr>
                      <w:rFonts w:hint="eastAsia" w:ascii="宋体" w:hAnsi="宋体" w:cs="宋体"/>
                      <w:b/>
                      <w:bCs/>
                      <w:color w:val="auto"/>
                      <w:kern w:val="0"/>
                      <w:szCs w:val="21"/>
                    </w:rPr>
                    <w:t>本项目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99" w:hRule="atLeast"/>
              </w:trPr>
              <w:tc>
                <w:tcPr>
                  <w:tcW w:w="1268"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地表水</w:t>
                  </w:r>
                </w:p>
              </w:tc>
              <w:tc>
                <w:tcPr>
                  <w:tcW w:w="4820"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1134" w:type="dxa"/>
                  <w:tcBorders>
                    <w:tl2br w:val="nil"/>
                    <w:tr2bl w:val="nil"/>
                  </w:tcBorders>
                  <w:vAlign w:val="center"/>
                </w:tcPr>
                <w:p>
                  <w:pPr>
                    <w:widowControl/>
                    <w:adjustRightInd w:val="0"/>
                    <w:snapToGrid w:val="0"/>
                    <w:rPr>
                      <w:rFonts w:ascii="宋体" w:hAnsi="宋体" w:cs="宋体"/>
                      <w:color w:val="auto"/>
                      <w:kern w:val="0"/>
                      <w:szCs w:val="21"/>
                    </w:rPr>
                  </w:pPr>
                  <w:r>
                    <w:rPr>
                      <w:rFonts w:hint="eastAsia" w:ascii="宋体" w:hAnsi="宋体" w:cs="宋体"/>
                      <w:color w:val="auto"/>
                      <w:kern w:val="0"/>
                      <w:szCs w:val="21"/>
                    </w:rPr>
                    <w:t>不属于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5" w:hRule="atLeast"/>
              </w:trPr>
              <w:tc>
                <w:tcPr>
                  <w:tcW w:w="1268"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地下水</w:t>
                  </w:r>
                </w:p>
              </w:tc>
              <w:tc>
                <w:tcPr>
                  <w:tcW w:w="4820"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陆地石油和天然气开采：全部；地下水（含矿泉水）开采：全部；水利、水电、交通等：含穿越可溶岩地层隧道的项目</w:t>
                  </w:r>
                </w:p>
              </w:tc>
              <w:tc>
                <w:tcPr>
                  <w:tcW w:w="1134" w:type="dxa"/>
                  <w:tcBorders>
                    <w:tl2br w:val="nil"/>
                    <w:tr2bl w:val="nil"/>
                  </w:tcBorders>
                  <w:vAlign w:val="center"/>
                </w:tcPr>
                <w:p>
                  <w:pPr>
                    <w:widowControl/>
                    <w:adjustRightInd w:val="0"/>
                    <w:snapToGrid w:val="0"/>
                    <w:rPr>
                      <w:rFonts w:ascii="宋体" w:hAnsi="宋体" w:cs="宋体"/>
                      <w:color w:val="auto"/>
                      <w:kern w:val="0"/>
                      <w:szCs w:val="21"/>
                    </w:rPr>
                  </w:pPr>
                  <w:r>
                    <w:rPr>
                      <w:rFonts w:hint="eastAsia" w:ascii="宋体" w:hAnsi="宋体" w:cs="宋体"/>
                      <w:color w:val="auto"/>
                      <w:kern w:val="0"/>
                      <w:szCs w:val="21"/>
                    </w:rPr>
                    <w:t>不属于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268"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生态</w:t>
                  </w:r>
                </w:p>
              </w:tc>
              <w:tc>
                <w:tcPr>
                  <w:tcW w:w="4820"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涉及环境敏感区（不包括饮用水水源保护区，以居住、医疗卫生、文化教育、科研、行政办公为主要功能的区域，以及文物保护单位）的项目</w:t>
                  </w:r>
                </w:p>
              </w:tc>
              <w:tc>
                <w:tcPr>
                  <w:tcW w:w="1134" w:type="dxa"/>
                  <w:tcBorders>
                    <w:tl2br w:val="nil"/>
                    <w:tr2bl w:val="nil"/>
                  </w:tcBorders>
                  <w:vAlign w:val="center"/>
                </w:tcPr>
                <w:p>
                  <w:pPr>
                    <w:widowControl/>
                    <w:adjustRightInd w:val="0"/>
                    <w:snapToGrid w:val="0"/>
                    <w:rPr>
                      <w:rFonts w:ascii="宋体" w:hAnsi="宋体" w:cs="宋体"/>
                      <w:color w:val="auto"/>
                      <w:kern w:val="0"/>
                      <w:szCs w:val="21"/>
                    </w:rPr>
                  </w:pPr>
                  <w:r>
                    <w:rPr>
                      <w:rFonts w:hint="eastAsia" w:ascii="宋体" w:hAnsi="宋体" w:cs="宋体"/>
                      <w:color w:val="auto"/>
                      <w:kern w:val="0"/>
                      <w:szCs w:val="21"/>
                    </w:rPr>
                    <w:t>不属于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268"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大气</w:t>
                  </w:r>
                </w:p>
              </w:tc>
              <w:tc>
                <w:tcPr>
                  <w:tcW w:w="4820"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油气、液体化工码头：全部；干散货（含煤炭、矿石）、件杂、多用途、通用码头：涉及粉尘、挥发性有机物排放的项目</w:t>
                  </w:r>
                </w:p>
              </w:tc>
              <w:tc>
                <w:tcPr>
                  <w:tcW w:w="1134" w:type="dxa"/>
                  <w:tcBorders>
                    <w:tl2br w:val="nil"/>
                    <w:tr2bl w:val="nil"/>
                  </w:tcBorders>
                  <w:vAlign w:val="center"/>
                </w:tcPr>
                <w:p>
                  <w:pPr>
                    <w:widowControl/>
                    <w:adjustRightInd w:val="0"/>
                    <w:snapToGrid w:val="0"/>
                    <w:rPr>
                      <w:rFonts w:ascii="宋体" w:hAnsi="宋体" w:cs="宋体"/>
                      <w:color w:val="auto"/>
                      <w:kern w:val="0"/>
                      <w:szCs w:val="21"/>
                    </w:rPr>
                  </w:pPr>
                  <w:r>
                    <w:rPr>
                      <w:rFonts w:hint="eastAsia" w:ascii="宋体" w:hAnsi="宋体" w:cs="宋体"/>
                      <w:color w:val="auto"/>
                      <w:kern w:val="0"/>
                      <w:szCs w:val="21"/>
                    </w:rPr>
                    <w:t>不属于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6" w:hRule="atLeast"/>
              </w:trPr>
              <w:tc>
                <w:tcPr>
                  <w:tcW w:w="1268"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噪声</w:t>
                  </w:r>
                </w:p>
              </w:tc>
              <w:tc>
                <w:tcPr>
                  <w:tcW w:w="4820"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公路、铁路、机场等交通运输业涉及环境敏感区（以居住、医疗卫生、文化教育、科研、行政办公为主要功能的区域）的项目；城市道路（不含维护，不含支路、人行天桥、人行地道）：全部</w:t>
                  </w:r>
                </w:p>
              </w:tc>
              <w:tc>
                <w:tcPr>
                  <w:tcW w:w="1134" w:type="dxa"/>
                  <w:tcBorders>
                    <w:tl2br w:val="nil"/>
                    <w:tr2bl w:val="nil"/>
                  </w:tcBorders>
                  <w:vAlign w:val="center"/>
                </w:tcPr>
                <w:p>
                  <w:pPr>
                    <w:widowControl/>
                    <w:adjustRightInd w:val="0"/>
                    <w:snapToGrid w:val="0"/>
                    <w:rPr>
                      <w:rFonts w:ascii="宋体" w:hAnsi="宋体" w:cs="宋体"/>
                      <w:color w:val="auto"/>
                      <w:kern w:val="0"/>
                      <w:szCs w:val="21"/>
                    </w:rPr>
                  </w:pPr>
                  <w:r>
                    <w:rPr>
                      <w:rFonts w:hint="eastAsia" w:ascii="宋体" w:hAnsi="宋体" w:cs="宋体"/>
                      <w:color w:val="auto"/>
                      <w:kern w:val="0"/>
                      <w:szCs w:val="21"/>
                    </w:rPr>
                    <w:t>不属于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6" w:hRule="atLeast"/>
              </w:trPr>
              <w:tc>
                <w:tcPr>
                  <w:tcW w:w="1268"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环境风险</w:t>
                  </w:r>
                </w:p>
              </w:tc>
              <w:tc>
                <w:tcPr>
                  <w:tcW w:w="4820" w:type="dxa"/>
                  <w:tcBorders>
                    <w:tl2br w:val="nil"/>
                    <w:tr2bl w:val="nil"/>
                  </w:tcBorders>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石油和天然气开采：全部；油气、液体化工码头：全部；原油、成品油、天然气管线（不含城镇天然气管线、企业厂区内管线），危险化学品输送管线（不含企业厂区内管线）：全部</w:t>
                  </w:r>
                </w:p>
              </w:tc>
              <w:tc>
                <w:tcPr>
                  <w:tcW w:w="1134" w:type="dxa"/>
                  <w:tcBorders>
                    <w:tl2br w:val="nil"/>
                    <w:tr2bl w:val="nil"/>
                  </w:tcBorders>
                  <w:vAlign w:val="center"/>
                </w:tcPr>
                <w:p>
                  <w:pPr>
                    <w:widowControl/>
                    <w:adjustRightInd w:val="0"/>
                    <w:snapToGrid w:val="0"/>
                    <w:rPr>
                      <w:rFonts w:ascii="宋体" w:hAnsi="宋体" w:cs="宋体"/>
                      <w:color w:val="auto"/>
                      <w:kern w:val="0"/>
                      <w:szCs w:val="21"/>
                    </w:rPr>
                  </w:pPr>
                  <w:r>
                    <w:rPr>
                      <w:rFonts w:hint="eastAsia" w:ascii="宋体" w:hAnsi="宋体" w:cs="宋体"/>
                      <w:color w:val="auto"/>
                      <w:kern w:val="0"/>
                      <w:szCs w:val="21"/>
                    </w:rPr>
                    <w:t>不属于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1" w:hRule="atLeast"/>
              </w:trPr>
              <w:tc>
                <w:tcPr>
                  <w:tcW w:w="7222" w:type="dxa"/>
                  <w:gridSpan w:val="3"/>
                  <w:tcBorders>
                    <w:tl2br w:val="nil"/>
                    <w:tr2bl w:val="nil"/>
                  </w:tcBorders>
                  <w:vAlign w:val="center"/>
                </w:tcPr>
                <w:p>
                  <w:pPr>
                    <w:autoSpaceDE w:val="0"/>
                    <w:autoSpaceDN w:val="0"/>
                    <w:adjustRightInd w:val="0"/>
                    <w:snapToGrid w:val="0"/>
                    <w:spacing w:line="288" w:lineRule="auto"/>
                    <w:ind w:firstLine="361" w:firstLineChars="200"/>
                    <w:rPr>
                      <w:rFonts w:ascii="宋体" w:hAnsi="宋体" w:cs="宋体"/>
                      <w:b/>
                      <w:bCs/>
                      <w:color w:val="auto"/>
                      <w:kern w:val="0"/>
                      <w:szCs w:val="21"/>
                    </w:rPr>
                  </w:pPr>
                  <w:r>
                    <w:rPr>
                      <w:rFonts w:hint="eastAsia"/>
                      <w:b/>
                      <w:bCs/>
                      <w:color w:val="auto"/>
                      <w:kern w:val="0"/>
                      <w:sz w:val="18"/>
                      <w:szCs w:val="18"/>
                    </w:rPr>
                    <w:t>注：“涉及环境敏感区”是指建设项目位于、穿（跨）越（无害化通过的除外）环境敏感区，或环境影响范围涵盖环境敏感区。环境敏感区是指《建设项目环境影响评价分类管理名录》中针对该类项目所列的敏感区。</w:t>
                  </w:r>
                </w:p>
              </w:tc>
            </w:tr>
          </w:tbl>
          <w:p>
            <w:pPr>
              <w:autoSpaceDE w:val="0"/>
              <w:autoSpaceDN w:val="0"/>
              <w:adjustRightInd w:val="0"/>
              <w:snapToGrid w:val="0"/>
              <w:spacing w:line="360" w:lineRule="auto"/>
              <w:ind w:firstLine="480" w:firstLineChars="200"/>
              <w:rPr>
                <w:color w:val="auto"/>
                <w:kern w:val="0"/>
                <w:sz w:val="24"/>
              </w:rPr>
            </w:pPr>
            <w:r>
              <w:rPr>
                <w:rFonts w:hint="eastAsia"/>
                <w:bCs/>
                <w:color w:val="auto"/>
                <w:sz w:val="24"/>
              </w:rPr>
              <w:t>根据《建设项目环境影响报告表编制技术指南（生态影响类）（试行）》：“不开展专项评价的环境要素，环境影响以定性分析为主”。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2" w:hRule="atLeast"/>
        </w:trPr>
        <w:tc>
          <w:tcPr>
            <w:tcW w:w="1560" w:type="dxa"/>
            <w:tcMar>
              <w:top w:w="16" w:type="dxa"/>
              <w:left w:w="16" w:type="dxa"/>
              <w:right w:w="16" w:type="dxa"/>
            </w:tcMar>
            <w:vAlign w:val="center"/>
          </w:tcPr>
          <w:p>
            <w:pPr>
              <w:autoSpaceDE w:val="0"/>
              <w:autoSpaceDN w:val="0"/>
              <w:adjustRightInd w:val="0"/>
              <w:snapToGrid w:val="0"/>
              <w:jc w:val="center"/>
              <w:rPr>
                <w:b/>
                <w:bCs/>
                <w:color w:val="auto"/>
                <w:kern w:val="0"/>
                <w:sz w:val="24"/>
              </w:rPr>
            </w:pPr>
            <w:r>
              <w:rPr>
                <w:rFonts w:hint="eastAsia"/>
                <w:b/>
                <w:bCs/>
                <w:color w:val="auto"/>
                <w:kern w:val="0"/>
                <w:sz w:val="24"/>
              </w:rPr>
              <w:t>1</w:t>
            </w:r>
            <w:r>
              <w:rPr>
                <w:b/>
                <w:bCs/>
                <w:color w:val="auto"/>
                <w:kern w:val="0"/>
                <w:sz w:val="24"/>
              </w:rPr>
              <w:t>.2</w:t>
            </w:r>
            <w:r>
              <w:rPr>
                <w:rFonts w:hint="eastAsia"/>
                <w:b/>
                <w:bCs/>
                <w:color w:val="auto"/>
                <w:kern w:val="0"/>
                <w:sz w:val="24"/>
              </w:rPr>
              <w:t>项目实施背景、由来</w:t>
            </w:r>
          </w:p>
        </w:tc>
        <w:tc>
          <w:tcPr>
            <w:tcW w:w="7796" w:type="dxa"/>
            <w:gridSpan w:val="3"/>
            <w:tcMar>
              <w:top w:w="16" w:type="dxa"/>
              <w:left w:w="16" w:type="dxa"/>
              <w:right w:w="16" w:type="dxa"/>
            </w:tcMar>
            <w:vAlign w:val="center"/>
          </w:tcPr>
          <w:p>
            <w:pPr>
              <w:adjustRightInd w:val="0"/>
              <w:snapToGrid w:val="0"/>
              <w:spacing w:line="360" w:lineRule="auto"/>
              <w:ind w:firstLine="480" w:firstLineChars="200"/>
              <w:rPr>
                <w:bCs/>
                <w:color w:val="auto"/>
                <w:sz w:val="24"/>
              </w:rPr>
            </w:pPr>
            <w:r>
              <w:rPr>
                <w:rFonts w:hint="eastAsia"/>
                <w:bCs/>
                <w:color w:val="auto"/>
                <w:sz w:val="24"/>
              </w:rPr>
              <w:t>王洼二矿位于宁夏回族自治区固原市彭阳县王洼镇境内，工业场地位于王洼沟左岸台地上，建有主斜井、副立井、斜风井、原煤储煤场、筛分仓、矸石场、矿井水处理站、生活污水处理设施、供热系统等。</w:t>
            </w:r>
          </w:p>
          <w:p>
            <w:pPr>
              <w:adjustRightInd w:val="0"/>
              <w:snapToGrid w:val="0"/>
              <w:spacing w:line="360" w:lineRule="auto"/>
              <w:ind w:firstLine="480" w:firstLineChars="200"/>
              <w:rPr>
                <w:color w:val="auto"/>
                <w:sz w:val="24"/>
              </w:rPr>
            </w:pPr>
            <w:r>
              <w:rPr>
                <w:rFonts w:hint="eastAsia"/>
                <w:bCs/>
                <w:color w:val="auto"/>
                <w:sz w:val="24"/>
              </w:rPr>
              <w:t>王洼二矿矸石场位于工业场地东北侧王洼沟内，</w:t>
            </w:r>
            <w:r>
              <w:rPr>
                <w:rFonts w:hint="eastAsia"/>
                <w:color w:val="auto"/>
                <w:sz w:val="24"/>
              </w:rPr>
              <w:t>起点为王洼二矿通行桥，矸石场底部埋设有两道</w:t>
            </w:r>
            <w:r>
              <w:rPr>
                <w:color w:val="auto"/>
                <w:sz w:val="24"/>
              </w:rPr>
              <w:t>DN1500</w:t>
            </w:r>
            <w:r>
              <w:rPr>
                <w:rFonts w:hint="eastAsia"/>
                <w:color w:val="auto"/>
                <w:sz w:val="24"/>
              </w:rPr>
              <w:t>镀锌波纹管，穿拦渣坝底部将上游洪水导入下游沟道。王洼二矿矸石场为</w:t>
            </w:r>
            <w:r>
              <w:rPr>
                <w:color w:val="auto"/>
                <w:sz w:val="24"/>
              </w:rPr>
              <w:t>Ⅰ</w:t>
            </w:r>
            <w:r>
              <w:rPr>
                <w:rFonts w:hint="eastAsia"/>
                <w:color w:val="auto"/>
                <w:sz w:val="24"/>
              </w:rPr>
              <w:t>类一般工业固体废物填埋场，</w:t>
            </w:r>
            <w:r>
              <w:rPr>
                <w:color w:val="auto"/>
                <w:sz w:val="24"/>
              </w:rPr>
              <w:t>2020</w:t>
            </w:r>
            <w:r>
              <w:rPr>
                <w:rFonts w:hint="eastAsia"/>
                <w:color w:val="auto"/>
                <w:sz w:val="24"/>
              </w:rPr>
              <w:t>年底对已建矸石场进行土地利用，在矸石场末端建设完成</w:t>
            </w:r>
            <w:r>
              <w:rPr>
                <w:color w:val="auto"/>
                <w:sz w:val="24"/>
              </w:rPr>
              <w:t>0.5</w:t>
            </w:r>
            <w:r>
              <w:rPr>
                <w:rFonts w:hint="eastAsia"/>
                <w:color w:val="auto"/>
                <w:sz w:val="24"/>
              </w:rPr>
              <w:t>万</w:t>
            </w:r>
            <w:r>
              <w:rPr>
                <w:color w:val="auto"/>
                <w:sz w:val="24"/>
              </w:rPr>
              <w:t>m</w:t>
            </w:r>
            <w:r>
              <w:rPr>
                <w:color w:val="auto"/>
                <w:sz w:val="24"/>
                <w:vertAlign w:val="superscript"/>
              </w:rPr>
              <w:t>3</w:t>
            </w:r>
            <w:r>
              <w:rPr>
                <w:color w:val="auto"/>
                <w:sz w:val="24"/>
              </w:rPr>
              <w:t>II</w:t>
            </w:r>
            <w:r>
              <w:rPr>
                <w:rFonts w:hint="eastAsia"/>
                <w:color w:val="auto"/>
                <w:sz w:val="24"/>
              </w:rPr>
              <w:t>类一般工业固体废物处置场</w:t>
            </w:r>
            <w:r>
              <w:rPr>
                <w:color w:val="auto"/>
                <w:sz w:val="24"/>
              </w:rPr>
              <w:t>1</w:t>
            </w:r>
            <w:r>
              <w:rPr>
                <w:rFonts w:hint="eastAsia"/>
                <w:color w:val="auto"/>
                <w:sz w:val="24"/>
              </w:rPr>
              <w:t>处，处置场已进行防渗处理，但四周暂未采取截洪措施。矸石场至上游范新庄水库段沟道约</w:t>
            </w:r>
            <w:r>
              <w:rPr>
                <w:color w:val="auto"/>
                <w:sz w:val="24"/>
              </w:rPr>
              <w:t>1.1km</w:t>
            </w:r>
            <w:r>
              <w:rPr>
                <w:rFonts w:hint="eastAsia"/>
                <w:color w:val="auto"/>
                <w:sz w:val="24"/>
              </w:rPr>
              <w:t>，两岸黄土节理发育、陡峭，属于易塌岸坡，2021年3月已对沟道左侧岸坡（靠近矿井工业场地侧）采用煤矸石进行了治理，右岸侧属耕地红线暂未实施。</w:t>
            </w:r>
          </w:p>
          <w:p>
            <w:pPr>
              <w:adjustRightInd w:val="0"/>
              <w:snapToGrid w:val="0"/>
              <w:spacing w:line="360" w:lineRule="auto"/>
              <w:ind w:firstLine="480" w:firstLineChars="200"/>
              <w:rPr>
                <w:color w:val="auto"/>
                <w:sz w:val="24"/>
              </w:rPr>
            </w:pPr>
            <w:r>
              <w:rPr>
                <w:rFonts w:hint="eastAsia"/>
                <w:color w:val="auto"/>
                <w:sz w:val="24"/>
              </w:rPr>
              <w:t>根据设计校核，矸石场底部排洪涵管的排洪能力不能满足</w:t>
            </w:r>
            <w:r>
              <w:rPr>
                <w:color w:val="auto"/>
                <w:sz w:val="24"/>
              </w:rPr>
              <w:t>100</w:t>
            </w:r>
            <w:r>
              <w:rPr>
                <w:rFonts w:hint="eastAsia"/>
                <w:color w:val="auto"/>
                <w:sz w:val="24"/>
              </w:rPr>
              <w:t>年一遇防洪标准及范新庄水库最大下泄量排洪安全。岸坡治理区存在阻碍河道行洪安全问题。考虑项目区煤矸石综合利用途径有限、实施清障困难的现状，彭阳县水务局责令宁夏王洼煤业有限公司（以下简称“建设单位”）按照《水法》、《防洪法》、《河道管理条例》法律、法规要求实施补救措施，以保障沟道行洪畅通及区域防洪安全。</w:t>
            </w:r>
          </w:p>
          <w:p>
            <w:pPr>
              <w:adjustRightInd w:val="0"/>
              <w:snapToGrid w:val="0"/>
              <w:spacing w:line="360" w:lineRule="auto"/>
              <w:ind w:firstLine="480" w:firstLineChars="200"/>
              <w:rPr>
                <w:rFonts w:hint="eastAsia" w:eastAsia="宋体"/>
                <w:color w:val="auto"/>
                <w:sz w:val="24"/>
                <w:lang w:eastAsia="zh-CN"/>
              </w:rPr>
            </w:pPr>
            <w:r>
              <w:rPr>
                <w:rFonts w:hint="eastAsia"/>
                <w:color w:val="auto"/>
                <w:sz w:val="24"/>
              </w:rPr>
              <w:t>建设单位委托</w:t>
            </w:r>
            <w:r>
              <w:rPr>
                <w:color w:val="auto"/>
                <w:sz w:val="24"/>
              </w:rPr>
              <w:t>固原市水利勘测设计院有限公司</w:t>
            </w:r>
            <w:r>
              <w:rPr>
                <w:rFonts w:hint="eastAsia"/>
                <w:color w:val="auto"/>
                <w:sz w:val="24"/>
              </w:rPr>
              <w:t>编制了《彭阳县王洼二矿矸石场洪水影响分析及整改方案》、《彭阳县王洼二矿矸石场防洪工程初步设计报告》，在校核现状范新庄水库、矸石场排洪设施的基础上，依托岸坡治理工程顶部建设彭阳县王洼二矿矸石场防洪工程（以下简称“本项目”）</w:t>
            </w:r>
            <w:r>
              <w:rPr>
                <w:rFonts w:hint="eastAsia"/>
                <w:color w:val="auto"/>
                <w:sz w:val="24"/>
                <w:lang w:eastAsia="zh-CN"/>
              </w:rPr>
              <w:t>。</w:t>
            </w:r>
          </w:p>
          <w:p>
            <w:pPr>
              <w:adjustRightInd w:val="0"/>
              <w:snapToGrid w:val="0"/>
              <w:spacing w:line="360" w:lineRule="auto"/>
              <w:ind w:firstLine="480" w:firstLineChars="200"/>
              <w:jc w:val="left"/>
              <w:rPr>
                <w:color w:val="auto"/>
                <w:sz w:val="24"/>
              </w:rPr>
            </w:pPr>
            <w:r>
              <w:rPr>
                <w:color w:val="auto"/>
                <w:sz w:val="24"/>
              </w:rPr>
              <w:t>根据《中华人民共和国环境保护法》、《中华人民共和国环境影响评价法》、《建设项目环境保护管理条例》等有关规定，</w:t>
            </w:r>
            <w:r>
              <w:rPr>
                <w:rFonts w:hint="eastAsia"/>
                <w:color w:val="auto"/>
                <w:sz w:val="24"/>
              </w:rPr>
              <w:t>建设单位</w:t>
            </w:r>
            <w:r>
              <w:rPr>
                <w:color w:val="auto"/>
                <w:sz w:val="24"/>
              </w:rPr>
              <w:t>委托宁夏石油化工环境科学研究院股份有限公司（以下简称“环评单位”）开展本项目的环境影响评价工作。</w:t>
            </w:r>
            <w:bookmarkStart w:id="3" w:name="_Hlk27058917"/>
            <w:r>
              <w:rPr>
                <w:color w:val="auto"/>
                <w:sz w:val="24"/>
              </w:rPr>
              <w:t>根据《建设项目环境影响评价分类管理名录（2021年版）》的规定，本项目属于</w:t>
            </w:r>
            <w:bookmarkEnd w:id="3"/>
            <w:r>
              <w:rPr>
                <w:color w:val="auto"/>
                <w:sz w:val="24"/>
              </w:rPr>
              <w:t>“</w:t>
            </w:r>
            <w:r>
              <w:rPr>
                <w:rFonts w:hint="eastAsia"/>
                <w:color w:val="auto"/>
                <w:sz w:val="24"/>
              </w:rPr>
              <w:t>五十一、水利</w:t>
            </w:r>
            <w:r>
              <w:rPr>
                <w:color w:val="auto"/>
                <w:sz w:val="24"/>
              </w:rPr>
              <w:t>—</w:t>
            </w:r>
            <w:r>
              <w:rPr>
                <w:rFonts w:hint="eastAsia"/>
                <w:color w:val="auto"/>
                <w:sz w:val="24"/>
              </w:rPr>
              <w:t>127</w:t>
            </w:r>
            <w:r>
              <w:rPr>
                <w:color w:val="auto"/>
                <w:sz w:val="24"/>
              </w:rPr>
              <w:t>防洪除涝工程”中的“其他</w:t>
            </w:r>
            <w:r>
              <w:rPr>
                <w:rFonts w:hint="eastAsia"/>
                <w:color w:val="auto"/>
                <w:sz w:val="24"/>
              </w:rPr>
              <w:t>其他（小型沟渠的护坡除外；城镇排涝河流水闸、排涝泵站除外）</w:t>
            </w:r>
            <w:r>
              <w:rPr>
                <w:color w:val="auto"/>
                <w:sz w:val="24"/>
              </w:rPr>
              <w:t>”，需编制环境影响报告表。</w:t>
            </w:r>
          </w:p>
          <w:p>
            <w:pPr>
              <w:adjustRightInd w:val="0"/>
              <w:snapToGrid w:val="0"/>
              <w:spacing w:line="360" w:lineRule="auto"/>
              <w:ind w:firstLine="480" w:firstLineChars="200"/>
              <w:jc w:val="left"/>
              <w:rPr>
                <w:color w:val="auto"/>
                <w:sz w:val="24"/>
              </w:rPr>
            </w:pPr>
            <w:r>
              <w:rPr>
                <w:color w:val="auto"/>
                <w:sz w:val="24"/>
              </w:rPr>
              <w:t>评价单位在接受委托后，组织专业技术人员对</w:t>
            </w:r>
            <w:r>
              <w:rPr>
                <w:rFonts w:hint="eastAsia"/>
                <w:color w:val="auto"/>
                <w:sz w:val="24"/>
              </w:rPr>
              <w:t>矸石场防洪设施</w:t>
            </w:r>
            <w:r>
              <w:rPr>
                <w:color w:val="auto"/>
                <w:sz w:val="24"/>
              </w:rPr>
              <w:t>进行了调查，对区域的自然环境、生态环境、存在的敏感因素及治理区环境状况等进行了</w:t>
            </w:r>
            <w:r>
              <w:rPr>
                <w:rFonts w:hint="eastAsia"/>
                <w:color w:val="auto"/>
                <w:sz w:val="24"/>
              </w:rPr>
              <w:t>实地踏勘</w:t>
            </w:r>
            <w:r>
              <w:rPr>
                <w:color w:val="auto"/>
                <w:sz w:val="24"/>
              </w:rPr>
              <w:t>。在现场踏勘、资料收集，以及充分利用现有资料的基础上，按照有关法律法规、环境保护标准、环境影响评价技术导则及相关规范编制了《</w:t>
            </w:r>
            <w:r>
              <w:rPr>
                <w:rFonts w:hint="eastAsia"/>
                <w:color w:val="auto"/>
                <w:sz w:val="24"/>
              </w:rPr>
              <w:t>彭阳县王洼二矿矸石场防洪工程</w:t>
            </w:r>
            <w:r>
              <w:rPr>
                <w:color w:val="auto"/>
                <w:sz w:val="24"/>
              </w:rPr>
              <w:t>环境影响报告表》。</w:t>
            </w:r>
          </w:p>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7" w:hRule="atLeast"/>
        </w:trPr>
        <w:tc>
          <w:tcPr>
            <w:tcW w:w="1560" w:type="dxa"/>
            <w:tcMar>
              <w:top w:w="16" w:type="dxa"/>
              <w:left w:w="16" w:type="dxa"/>
              <w:right w:w="16" w:type="dxa"/>
            </w:tcMar>
            <w:vAlign w:val="center"/>
          </w:tcPr>
          <w:p>
            <w:pPr>
              <w:autoSpaceDE w:val="0"/>
              <w:autoSpaceDN w:val="0"/>
              <w:adjustRightInd w:val="0"/>
              <w:snapToGrid w:val="0"/>
              <w:jc w:val="center"/>
              <w:rPr>
                <w:b/>
                <w:bCs/>
                <w:color w:val="auto"/>
                <w:kern w:val="0"/>
                <w:sz w:val="24"/>
              </w:rPr>
            </w:pPr>
            <w:r>
              <w:rPr>
                <w:rFonts w:hint="eastAsia"/>
                <w:b/>
                <w:bCs/>
                <w:color w:val="auto"/>
                <w:sz w:val="24"/>
              </w:rPr>
              <w:t>1</w:t>
            </w:r>
            <w:r>
              <w:rPr>
                <w:b/>
                <w:bCs/>
                <w:color w:val="auto"/>
                <w:sz w:val="24"/>
              </w:rPr>
              <w:t>.3规划情况</w:t>
            </w:r>
          </w:p>
        </w:tc>
        <w:tc>
          <w:tcPr>
            <w:tcW w:w="7796" w:type="dxa"/>
            <w:gridSpan w:val="3"/>
            <w:tcMar>
              <w:top w:w="16" w:type="dxa"/>
              <w:left w:w="16" w:type="dxa"/>
              <w:right w:w="16" w:type="dxa"/>
            </w:tcMar>
            <w:vAlign w:val="center"/>
          </w:tcPr>
          <w:p>
            <w:pPr>
              <w:autoSpaceDE w:val="0"/>
              <w:autoSpaceDN w:val="0"/>
              <w:adjustRightInd w:val="0"/>
              <w:snapToGrid w:val="0"/>
              <w:ind w:firstLine="240" w:firstLineChars="100"/>
              <w:rPr>
                <w:color w:val="auto"/>
                <w:kern w:val="0"/>
                <w:sz w:val="24"/>
              </w:rPr>
            </w:pPr>
            <w:r>
              <w:rPr>
                <w:bCs/>
                <w:color w:val="auto"/>
                <w:kern w:val="0"/>
                <w:sz w:val="24"/>
                <w:lang w:bidi="ar"/>
              </w:rPr>
              <w:t>《宁夏彭阳县王洼产业园区总体规划（2020-2035年）》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1560" w:type="dxa"/>
            <w:tcMar>
              <w:top w:w="16" w:type="dxa"/>
              <w:left w:w="16" w:type="dxa"/>
              <w:right w:w="16" w:type="dxa"/>
            </w:tcMar>
            <w:vAlign w:val="center"/>
          </w:tcPr>
          <w:p>
            <w:pPr>
              <w:autoSpaceDE w:val="0"/>
              <w:autoSpaceDN w:val="0"/>
              <w:adjustRightInd w:val="0"/>
              <w:snapToGrid w:val="0"/>
              <w:jc w:val="center"/>
              <w:rPr>
                <w:b/>
                <w:bCs/>
                <w:color w:val="auto"/>
                <w:kern w:val="0"/>
                <w:sz w:val="24"/>
              </w:rPr>
            </w:pPr>
            <w:r>
              <w:rPr>
                <w:rFonts w:hint="eastAsia"/>
                <w:b/>
                <w:bCs/>
                <w:color w:val="auto"/>
                <w:sz w:val="24"/>
              </w:rPr>
              <w:t>1</w:t>
            </w:r>
            <w:r>
              <w:rPr>
                <w:b/>
                <w:bCs/>
                <w:color w:val="auto"/>
                <w:sz w:val="24"/>
              </w:rPr>
              <w:t>.4规划环境影响评价情况</w:t>
            </w:r>
          </w:p>
        </w:tc>
        <w:tc>
          <w:tcPr>
            <w:tcW w:w="7796" w:type="dxa"/>
            <w:gridSpan w:val="3"/>
            <w:tcMar>
              <w:top w:w="16" w:type="dxa"/>
              <w:left w:w="16" w:type="dxa"/>
              <w:right w:w="16" w:type="dxa"/>
            </w:tcMar>
            <w:vAlign w:val="center"/>
          </w:tcPr>
          <w:p>
            <w:pPr>
              <w:adjustRightInd w:val="0"/>
              <w:snapToGrid w:val="0"/>
              <w:spacing w:line="360" w:lineRule="auto"/>
              <w:ind w:firstLine="480" w:firstLineChars="200"/>
              <w:rPr>
                <w:color w:val="auto"/>
                <w:kern w:val="0"/>
                <w:sz w:val="24"/>
              </w:rPr>
            </w:pPr>
            <w:r>
              <w:rPr>
                <w:bCs/>
                <w:color w:val="auto"/>
                <w:kern w:val="0"/>
                <w:sz w:val="24"/>
                <w:lang w:bidi="ar"/>
              </w:rPr>
              <w:t>彭阳县王洼产业园区管理委员会于2019年4月委托宁夏环境科学研究院（有限责任公司）编制了《宁夏彭阳县王洼产业园区总体规划（2018-2035年）环境影响报告书》，自治区生态环境厅以《关于&lt;宁夏彭阳县王洼产业园区总体规划（2018-2035年）环境影响报告书&gt;审查意见的函》（宁环环评函[2019]660号）进行了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3" w:hRule="atLeast"/>
        </w:trPr>
        <w:tc>
          <w:tcPr>
            <w:tcW w:w="1560" w:type="dxa"/>
            <w:tcMar>
              <w:top w:w="16" w:type="dxa"/>
              <w:left w:w="16" w:type="dxa"/>
              <w:right w:w="16" w:type="dxa"/>
            </w:tcMar>
            <w:vAlign w:val="center"/>
          </w:tcPr>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p>
          <w:p>
            <w:pPr>
              <w:autoSpaceDE w:val="0"/>
              <w:autoSpaceDN w:val="0"/>
              <w:adjustRightInd w:val="0"/>
              <w:snapToGrid w:val="0"/>
              <w:jc w:val="center"/>
              <w:rPr>
                <w:b/>
                <w:bCs/>
                <w:color w:val="auto"/>
                <w:kern w:val="0"/>
                <w:sz w:val="24"/>
              </w:rPr>
            </w:pPr>
            <w:r>
              <w:rPr>
                <w:rFonts w:hint="eastAsia"/>
                <w:b/>
                <w:bCs/>
                <w:color w:val="auto"/>
                <w:kern w:val="0"/>
                <w:sz w:val="24"/>
              </w:rPr>
              <w:t>1</w:t>
            </w:r>
            <w:r>
              <w:rPr>
                <w:b/>
                <w:bCs/>
                <w:color w:val="auto"/>
                <w:kern w:val="0"/>
                <w:sz w:val="24"/>
              </w:rPr>
              <w:t>.5规划及</w:t>
            </w:r>
            <w:r>
              <w:rPr>
                <w:b/>
                <w:bCs/>
                <w:color w:val="auto"/>
                <w:sz w:val="24"/>
              </w:rPr>
              <w:t>规划环境影响评价</w:t>
            </w:r>
            <w:r>
              <w:rPr>
                <w:b/>
                <w:bCs/>
                <w:color w:val="auto"/>
                <w:kern w:val="0"/>
                <w:sz w:val="24"/>
              </w:rPr>
              <w:t>符合性分析</w:t>
            </w:r>
          </w:p>
        </w:tc>
        <w:tc>
          <w:tcPr>
            <w:tcW w:w="7796" w:type="dxa"/>
            <w:gridSpan w:val="3"/>
            <w:tcMar>
              <w:top w:w="16" w:type="dxa"/>
              <w:left w:w="16" w:type="dxa"/>
              <w:right w:w="16" w:type="dxa"/>
            </w:tcMar>
            <w:vAlign w:val="center"/>
          </w:tcPr>
          <w:p>
            <w:pPr>
              <w:adjustRightInd w:val="0"/>
              <w:snapToGrid w:val="0"/>
              <w:spacing w:line="360" w:lineRule="auto"/>
              <w:ind w:firstLine="480" w:firstLineChars="200"/>
              <w:rPr>
                <w:bCs/>
                <w:color w:val="auto"/>
                <w:kern w:val="0"/>
                <w:sz w:val="24"/>
                <w:lang w:bidi="ar"/>
              </w:rPr>
            </w:pPr>
            <w:r>
              <w:rPr>
                <w:bCs/>
                <w:color w:val="auto"/>
                <w:kern w:val="0"/>
                <w:sz w:val="24"/>
                <w:lang w:bidi="ar"/>
              </w:rPr>
              <w:t>(1)规划符合性分析</w:t>
            </w:r>
          </w:p>
          <w:p>
            <w:pPr>
              <w:adjustRightInd w:val="0"/>
              <w:snapToGrid w:val="0"/>
              <w:spacing w:line="360" w:lineRule="auto"/>
              <w:ind w:firstLine="480" w:firstLineChars="200"/>
              <w:rPr>
                <w:bCs/>
                <w:color w:val="auto"/>
                <w:kern w:val="0"/>
                <w:sz w:val="24"/>
                <w:lang w:bidi="ar"/>
              </w:rPr>
            </w:pPr>
            <w:r>
              <w:rPr>
                <w:bCs/>
                <w:color w:val="auto"/>
                <w:kern w:val="0"/>
                <w:sz w:val="24"/>
                <w:lang w:bidi="ar"/>
              </w:rPr>
              <w:t>根据《宁夏彭阳县王洼产业园区总体规划（2020-2035年）》，园区主导产业包括煤炭资源综合利用、农副产品加工，限制发展产业包括电力、医药、冶金、建材、化工、有色产业。</w:t>
            </w:r>
          </w:p>
          <w:p>
            <w:pPr>
              <w:adjustRightInd w:val="0"/>
              <w:snapToGrid w:val="0"/>
              <w:spacing w:line="360" w:lineRule="auto"/>
              <w:ind w:firstLine="480" w:firstLineChars="200"/>
              <w:rPr>
                <w:bCs/>
                <w:color w:val="auto"/>
                <w:kern w:val="0"/>
                <w:sz w:val="24"/>
                <w:lang w:bidi="ar"/>
              </w:rPr>
            </w:pPr>
            <w:r>
              <w:rPr>
                <w:bCs/>
                <w:color w:val="auto"/>
                <w:kern w:val="0"/>
                <w:sz w:val="24"/>
                <w:lang w:bidi="ar"/>
              </w:rPr>
              <w:t>本项目</w:t>
            </w:r>
            <w:r>
              <w:rPr>
                <w:rFonts w:hint="eastAsia"/>
                <w:bCs/>
                <w:color w:val="auto"/>
                <w:kern w:val="0"/>
                <w:sz w:val="24"/>
                <w:lang w:bidi="ar"/>
              </w:rPr>
              <w:t>属于防洪治理工程</w:t>
            </w:r>
            <w:r>
              <w:rPr>
                <w:bCs/>
                <w:color w:val="auto"/>
                <w:kern w:val="0"/>
                <w:sz w:val="24"/>
                <w:lang w:bidi="ar"/>
              </w:rPr>
              <w:t>，对于区域防洪安全、</w:t>
            </w:r>
            <w:r>
              <w:rPr>
                <w:rFonts w:hint="eastAsia"/>
                <w:bCs/>
                <w:color w:val="auto"/>
                <w:kern w:val="0"/>
                <w:sz w:val="24"/>
                <w:lang w:bidi="ar"/>
              </w:rPr>
              <w:t>沟道岸坡治理</w:t>
            </w:r>
            <w:r>
              <w:rPr>
                <w:bCs/>
                <w:color w:val="auto"/>
                <w:kern w:val="0"/>
                <w:sz w:val="24"/>
                <w:lang w:bidi="ar"/>
              </w:rPr>
              <w:t>具有重要意义</w:t>
            </w:r>
            <w:r>
              <w:rPr>
                <w:rFonts w:hint="eastAsia"/>
                <w:bCs/>
                <w:color w:val="auto"/>
                <w:kern w:val="0"/>
                <w:sz w:val="24"/>
                <w:lang w:bidi="ar"/>
              </w:rPr>
              <w:t>。</w:t>
            </w:r>
            <w:r>
              <w:rPr>
                <w:bCs/>
                <w:color w:val="auto"/>
                <w:kern w:val="0"/>
                <w:sz w:val="24"/>
                <w:lang w:bidi="ar"/>
              </w:rPr>
              <w:t>本项目与王洼煤炭产业南区部分区域重合</w:t>
            </w:r>
            <w:r>
              <w:rPr>
                <w:rFonts w:hint="eastAsia"/>
                <w:bCs/>
                <w:color w:val="auto"/>
                <w:kern w:val="0"/>
                <w:sz w:val="24"/>
                <w:lang w:bidi="ar"/>
              </w:rPr>
              <w:t>，不在</w:t>
            </w:r>
            <w:r>
              <w:rPr>
                <w:bCs/>
                <w:color w:val="auto"/>
                <w:kern w:val="0"/>
                <w:sz w:val="24"/>
                <w:lang w:bidi="ar"/>
              </w:rPr>
              <w:t>园区规划限制产业范围内，项目建设符合规划要求。</w:t>
            </w:r>
          </w:p>
          <w:p>
            <w:pPr>
              <w:adjustRightInd w:val="0"/>
              <w:snapToGrid w:val="0"/>
              <w:spacing w:line="360" w:lineRule="auto"/>
              <w:ind w:firstLine="480" w:firstLineChars="200"/>
              <w:rPr>
                <w:bCs/>
                <w:color w:val="auto"/>
                <w:kern w:val="0"/>
                <w:sz w:val="24"/>
                <w:lang w:bidi="ar"/>
              </w:rPr>
            </w:pPr>
            <w:r>
              <w:rPr>
                <w:bCs/>
                <w:color w:val="auto"/>
                <w:kern w:val="0"/>
                <w:sz w:val="24"/>
                <w:lang w:bidi="ar"/>
              </w:rPr>
              <w:t>(2)规划环评符合性分析</w:t>
            </w:r>
          </w:p>
          <w:p>
            <w:pPr>
              <w:adjustRightInd w:val="0"/>
              <w:snapToGrid w:val="0"/>
              <w:spacing w:line="360" w:lineRule="auto"/>
              <w:ind w:firstLine="480" w:firstLineChars="200"/>
              <w:rPr>
                <w:bCs/>
                <w:color w:val="auto"/>
                <w:kern w:val="0"/>
                <w:sz w:val="24"/>
                <w:lang w:bidi="ar"/>
              </w:rPr>
            </w:pPr>
            <w:r>
              <w:rPr>
                <w:bCs/>
                <w:color w:val="auto"/>
                <w:kern w:val="0"/>
                <w:sz w:val="24"/>
                <w:lang w:bidi="ar"/>
              </w:rPr>
              <w:t>本项目属于</w:t>
            </w:r>
            <w:r>
              <w:rPr>
                <w:rFonts w:hint="eastAsia"/>
                <w:bCs/>
                <w:color w:val="auto"/>
                <w:kern w:val="0"/>
                <w:sz w:val="24"/>
                <w:lang w:bidi="ar"/>
              </w:rPr>
              <w:t>防洪治理工程</w:t>
            </w:r>
            <w:r>
              <w:rPr>
                <w:bCs/>
                <w:color w:val="auto"/>
                <w:kern w:val="0"/>
                <w:sz w:val="24"/>
                <w:lang w:bidi="ar"/>
              </w:rPr>
              <w:t>，与规划环评环境准入要求见表1-2。</w:t>
            </w:r>
          </w:p>
          <w:p>
            <w:pPr>
              <w:adjustRightInd w:val="0"/>
              <w:snapToGrid w:val="0"/>
              <w:spacing w:before="24" w:beforeLines="10"/>
              <w:ind w:firstLine="964" w:firstLineChars="400"/>
              <w:rPr>
                <w:b/>
                <w:color w:val="auto"/>
                <w:sz w:val="24"/>
              </w:rPr>
            </w:pPr>
            <w:r>
              <w:rPr>
                <w:b/>
                <w:color w:val="auto"/>
                <w:sz w:val="24"/>
              </w:rPr>
              <w:t>表1-2   本项目与规划环评生态环境准入清单分析</w:t>
            </w:r>
          </w:p>
          <w:tbl>
            <w:tblPr>
              <w:tblStyle w:val="19"/>
              <w:tblW w:w="738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12"/>
              <w:gridCol w:w="709"/>
              <w:gridCol w:w="1413"/>
              <w:gridCol w:w="1227"/>
              <w:gridCol w:w="2576"/>
              <w:gridCol w:w="9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4359" w:type="pct"/>
                  <w:gridSpan w:val="5"/>
                  <w:tcBorders>
                    <w:tl2br w:val="nil"/>
                    <w:tr2bl w:val="nil"/>
                  </w:tcBorders>
                  <w:noWrap/>
                  <w:vAlign w:val="center"/>
                </w:tcPr>
                <w:p>
                  <w:pPr>
                    <w:adjustRightInd w:val="0"/>
                    <w:snapToGrid w:val="0"/>
                    <w:jc w:val="center"/>
                    <w:rPr>
                      <w:b/>
                      <w:bCs/>
                      <w:color w:val="auto"/>
                      <w:kern w:val="0"/>
                      <w:szCs w:val="21"/>
                    </w:rPr>
                  </w:pPr>
                  <w:r>
                    <w:rPr>
                      <w:b/>
                      <w:bCs/>
                      <w:color w:val="auto"/>
                      <w:kern w:val="0"/>
                      <w:szCs w:val="21"/>
                    </w:rPr>
                    <w:t>规划环评中提出的生态环境准入清单</w:t>
                  </w:r>
                </w:p>
              </w:tc>
              <w:tc>
                <w:tcPr>
                  <w:tcW w:w="641" w:type="pct"/>
                  <w:tcBorders>
                    <w:tl2br w:val="nil"/>
                    <w:tr2bl w:val="nil"/>
                  </w:tcBorders>
                  <w:noWrap/>
                  <w:vAlign w:val="center"/>
                </w:tcPr>
                <w:p>
                  <w:pPr>
                    <w:adjustRightInd w:val="0"/>
                    <w:snapToGrid w:val="0"/>
                    <w:jc w:val="center"/>
                    <w:rPr>
                      <w:b/>
                      <w:bCs/>
                      <w:color w:val="auto"/>
                      <w:kern w:val="0"/>
                      <w:szCs w:val="21"/>
                    </w:rPr>
                  </w:pPr>
                  <w:r>
                    <w:rPr>
                      <w:b/>
                      <w:bCs/>
                      <w:color w:val="auto"/>
                      <w:kern w:val="0"/>
                      <w:szCs w:val="21"/>
                    </w:rPr>
                    <w:t>本项目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347" w:type="pct"/>
                  <w:vMerge w:val="restart"/>
                  <w:tcBorders>
                    <w:tl2br w:val="nil"/>
                    <w:tr2bl w:val="nil"/>
                  </w:tcBorders>
                  <w:vAlign w:val="center"/>
                </w:tcPr>
                <w:p>
                  <w:pPr>
                    <w:adjustRightInd w:val="0"/>
                    <w:snapToGrid w:val="0"/>
                    <w:jc w:val="center"/>
                    <w:rPr>
                      <w:color w:val="auto"/>
                      <w:kern w:val="0"/>
                      <w:szCs w:val="21"/>
                    </w:rPr>
                  </w:pPr>
                  <w:r>
                    <w:rPr>
                      <w:color w:val="auto"/>
                      <w:kern w:val="0"/>
                      <w:szCs w:val="21"/>
                    </w:rPr>
                    <w:t>生态环境准入清单</w:t>
                  </w:r>
                </w:p>
              </w:tc>
              <w:tc>
                <w:tcPr>
                  <w:tcW w:w="480" w:type="pct"/>
                  <w:vMerge w:val="restart"/>
                  <w:tcBorders>
                    <w:tl2br w:val="nil"/>
                    <w:tr2bl w:val="nil"/>
                  </w:tcBorders>
                  <w:noWrap/>
                  <w:vAlign w:val="center"/>
                </w:tcPr>
                <w:p>
                  <w:pPr>
                    <w:adjustRightInd w:val="0"/>
                    <w:snapToGrid w:val="0"/>
                    <w:jc w:val="center"/>
                    <w:rPr>
                      <w:color w:val="auto"/>
                      <w:kern w:val="0"/>
                      <w:szCs w:val="21"/>
                    </w:rPr>
                  </w:pPr>
                  <w:r>
                    <w:rPr>
                      <w:color w:val="auto"/>
                      <w:kern w:val="0"/>
                      <w:szCs w:val="21"/>
                    </w:rPr>
                    <w:t>禁止类</w:t>
                  </w: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1、应禁止在规划环评提出的禁建区内开展相应环境管控要求提及的内容。</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2、《产业结构调整指导目录》中的淘汰类全部列入本类，涉及的产业项目禁止新建和投资。</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3、列入《产业结构调整指导目录》中的鼓励、限制类产业，但不符合该片区以主导、辅助产业定位的全部列入本类，涉及的产业项目禁止新建和投资。</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4、《产业结构调整指导目录》为全部列入的产业，不符合该片区以主导、辅助产业定位的全部列入本类，涉及的产业项目禁止新建和投资。</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5、不得采用国家和地方淘汰的或禁止使用的工艺、技术和设备，不得建设生产工艺或污染防治技术不成熟的项目。</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6、列入《外商投资准入特别管理措施（负面清单）（2018年版）》中禁止外商投资领域。</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7、禁止新建涉重项目、禁止新建35蒸吨/小时以下燃煤锅炉。</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8、列入《环境保护综合名录》（2017年版）的高风险项目，按《危险化学品重大危险源辨识》（GB18218）判定构成“重大危险源”的项目禁止入园。</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restart"/>
                  <w:tcBorders>
                    <w:tl2br w:val="nil"/>
                    <w:tr2bl w:val="nil"/>
                  </w:tcBorders>
                  <w:noWrap/>
                  <w:vAlign w:val="center"/>
                </w:tcPr>
                <w:p>
                  <w:pPr>
                    <w:adjustRightInd w:val="0"/>
                    <w:snapToGrid w:val="0"/>
                    <w:jc w:val="center"/>
                    <w:rPr>
                      <w:color w:val="auto"/>
                      <w:kern w:val="0"/>
                      <w:szCs w:val="21"/>
                    </w:rPr>
                  </w:pPr>
                  <w:r>
                    <w:rPr>
                      <w:color w:val="auto"/>
                      <w:kern w:val="0"/>
                      <w:szCs w:val="21"/>
                    </w:rPr>
                    <w:t>限制类</w:t>
                  </w: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1、应限制在本次评价提出的限制建设区内开展相应环境管控要求提及的内容。</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42"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2、《产业结构调整指导目录》中限制类，除去已列入禁止类的，全部列入本类，涉及的产业项目（企业）需在生产工艺、规模（或产量）、区位（或范围）、环保措施等方面符合国家相关标准和地方管控要求</w:t>
                  </w:r>
                  <w:r>
                    <w:rPr>
                      <w:rFonts w:hint="eastAsia"/>
                      <w:color w:val="auto"/>
                      <w:kern w:val="0"/>
                      <w:szCs w:val="21"/>
                    </w:rPr>
                    <w:t>。</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3、加快淘汰不符合产业准入政策、环境污染重、不能实现未定达标排放的落后和过剩产能。</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4、列入《环境保护综合名录》（2017年版）的高污染项目，达到特别排放限值要求，新增污染物排放需双倍量置换</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5、茹河两侧200m范围内不得新、改、扩建新增废水排放项目</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6、严格涉VOCs排放的工业企业准入，满足《宁夏回族自治区挥发性有机物污染专项治理工作方案》及本次评价提出污染治理要求</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47" w:type="pct"/>
                  <w:vMerge w:val="continue"/>
                  <w:tcBorders>
                    <w:tl2br w:val="nil"/>
                    <w:tr2bl w:val="nil"/>
                  </w:tcBorders>
                  <w:vAlign w:val="center"/>
                </w:tcPr>
                <w:p>
                  <w:pPr>
                    <w:adjustRightInd w:val="0"/>
                    <w:snapToGrid w:val="0"/>
                    <w:jc w:val="left"/>
                    <w:rPr>
                      <w:color w:val="auto"/>
                      <w:kern w:val="0"/>
                      <w:szCs w:val="21"/>
                    </w:rPr>
                  </w:pPr>
                </w:p>
              </w:tc>
              <w:tc>
                <w:tcPr>
                  <w:tcW w:w="480" w:type="pct"/>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7、引进项目的生产工艺、设备，以及单位产品能耗、物耗、水耗、污染物排放和资源利用等均需达到同行业国内先进水平</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827" w:type="pct"/>
                  <w:gridSpan w:val="2"/>
                  <w:vMerge w:val="restart"/>
                  <w:tcBorders>
                    <w:tl2br w:val="nil"/>
                    <w:tr2bl w:val="nil"/>
                  </w:tcBorders>
                  <w:vAlign w:val="center"/>
                </w:tcPr>
                <w:p>
                  <w:pPr>
                    <w:adjustRightInd w:val="0"/>
                    <w:snapToGrid w:val="0"/>
                    <w:jc w:val="center"/>
                    <w:rPr>
                      <w:color w:val="auto"/>
                      <w:kern w:val="0"/>
                      <w:szCs w:val="21"/>
                    </w:rPr>
                  </w:pPr>
                  <w:r>
                    <w:rPr>
                      <w:color w:val="auto"/>
                      <w:kern w:val="0"/>
                      <w:szCs w:val="21"/>
                    </w:rPr>
                    <w:t>园区投资准入特别管理措施负面清单</w:t>
                  </w:r>
                </w:p>
              </w:tc>
              <w:tc>
                <w:tcPr>
                  <w:tcW w:w="957" w:type="pct"/>
                  <w:tcBorders>
                    <w:tl2br w:val="nil"/>
                    <w:tr2bl w:val="nil"/>
                  </w:tcBorders>
                  <w:vAlign w:val="center"/>
                </w:tcPr>
                <w:p>
                  <w:pPr>
                    <w:adjustRightInd w:val="0"/>
                    <w:snapToGrid w:val="0"/>
                    <w:jc w:val="center"/>
                    <w:rPr>
                      <w:color w:val="auto"/>
                      <w:kern w:val="0"/>
                      <w:szCs w:val="21"/>
                    </w:rPr>
                  </w:pPr>
                  <w:r>
                    <w:rPr>
                      <w:color w:val="auto"/>
                      <w:kern w:val="0"/>
                      <w:szCs w:val="21"/>
                    </w:rPr>
                    <w:t>区块一</w:t>
                  </w:r>
                </w:p>
              </w:tc>
              <w:tc>
                <w:tcPr>
                  <w:tcW w:w="831" w:type="pct"/>
                  <w:tcBorders>
                    <w:tl2br w:val="nil"/>
                    <w:tr2bl w:val="nil"/>
                  </w:tcBorders>
                  <w:noWrap/>
                  <w:vAlign w:val="center"/>
                </w:tcPr>
                <w:p>
                  <w:pPr>
                    <w:adjustRightInd w:val="0"/>
                    <w:snapToGrid w:val="0"/>
                    <w:jc w:val="center"/>
                    <w:rPr>
                      <w:color w:val="auto"/>
                      <w:kern w:val="0"/>
                      <w:szCs w:val="21"/>
                    </w:rPr>
                  </w:pPr>
                  <w:r>
                    <w:rPr>
                      <w:color w:val="auto"/>
                      <w:kern w:val="0"/>
                      <w:szCs w:val="21"/>
                    </w:rPr>
                    <w:t>区块二</w:t>
                  </w:r>
                </w:p>
              </w:tc>
              <w:tc>
                <w:tcPr>
                  <w:tcW w:w="1744" w:type="pct"/>
                  <w:tcBorders>
                    <w:tl2br w:val="nil"/>
                    <w:tr2bl w:val="nil"/>
                  </w:tcBorders>
                  <w:noWrap/>
                  <w:vAlign w:val="center"/>
                </w:tcPr>
                <w:p>
                  <w:pPr>
                    <w:adjustRightInd w:val="0"/>
                    <w:snapToGrid w:val="0"/>
                    <w:jc w:val="center"/>
                    <w:rPr>
                      <w:color w:val="auto"/>
                      <w:kern w:val="0"/>
                      <w:szCs w:val="21"/>
                    </w:rPr>
                  </w:pPr>
                  <w:r>
                    <w:rPr>
                      <w:color w:val="auto"/>
                      <w:kern w:val="0"/>
                      <w:szCs w:val="21"/>
                    </w:rPr>
                    <w:t>区块三</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1、电力、医药、冶金、建材、化工、有色产业；</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2、列入《产业结构调整指导目录》中的淘汰类：或鼓励类/限制类/未列入类的产业，不符合该片区主导、辅助产业定位的项目；</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3、列入《外商投资准入特别管理措施（负面清单）（2018年版）》中禁止外商投资领域；</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4、采用国家和地方淘汰的或禁止使用的工艺、技术和设备的项目、生产工艺或污染防治技术不成熟的项目；</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5、新建涉重项目、新建35蒸吨/小时以下燃煤锅炉；</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6、列入《环境保护综合名录》（2017年版）的高风险项目，按《危险化学品重大危险源辨识》（GB18218）判定构成“重大危险源”的项目禁止入园。</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96"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1、《产业结构调整指导目录》中的限制类，除去已列入禁止类的，全部列入本类，涉及的产业项目（企业）须在生产工艺、设备，以及单位产品能耗、物耗、水耗、污染物排放和资源利用等均需达到同行业国内先进水平；</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2、引进项目的生产工艺、设备，以及单位产品能耗、物耗、水耗、污染物排放和资源利用等均需达到同行业国内先进水平；</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3、涉VOCs排放的项目需要满足《宁夏回族自治区挥发性有机物污染专项治理工作方案》及本次评价提出污染治理要求；</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3532" w:type="pct"/>
                  <w:gridSpan w:val="3"/>
                  <w:tcBorders>
                    <w:tl2br w:val="nil"/>
                    <w:tr2bl w:val="nil"/>
                  </w:tcBorders>
                  <w:vAlign w:val="center"/>
                </w:tcPr>
                <w:p>
                  <w:pPr>
                    <w:adjustRightInd w:val="0"/>
                    <w:snapToGrid w:val="0"/>
                    <w:jc w:val="left"/>
                    <w:rPr>
                      <w:color w:val="auto"/>
                      <w:kern w:val="0"/>
                      <w:szCs w:val="21"/>
                    </w:rPr>
                  </w:pPr>
                  <w:r>
                    <w:rPr>
                      <w:color w:val="auto"/>
                      <w:kern w:val="0"/>
                      <w:szCs w:val="21"/>
                    </w:rPr>
                    <w:t>4、列入《环境保护综合名录》（2017年版）的高污染项目，新增污染物排放需双倍量置换，并达到特别排放限值要求。</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1" w:hRule="atLeast"/>
                <w:jc w:val="center"/>
              </w:trPr>
              <w:tc>
                <w:tcPr>
                  <w:tcW w:w="827" w:type="pct"/>
                  <w:gridSpan w:val="2"/>
                  <w:vMerge w:val="continue"/>
                  <w:tcBorders>
                    <w:tl2br w:val="nil"/>
                    <w:tr2bl w:val="nil"/>
                  </w:tcBorders>
                  <w:vAlign w:val="center"/>
                </w:tcPr>
                <w:p>
                  <w:pPr>
                    <w:adjustRightInd w:val="0"/>
                    <w:snapToGrid w:val="0"/>
                    <w:jc w:val="left"/>
                    <w:rPr>
                      <w:color w:val="auto"/>
                      <w:kern w:val="0"/>
                      <w:szCs w:val="21"/>
                    </w:rPr>
                  </w:pPr>
                </w:p>
              </w:tc>
              <w:tc>
                <w:tcPr>
                  <w:tcW w:w="1788" w:type="pct"/>
                  <w:gridSpan w:val="2"/>
                  <w:tcBorders>
                    <w:tl2br w:val="nil"/>
                    <w:tr2bl w:val="nil"/>
                  </w:tcBorders>
                  <w:vAlign w:val="center"/>
                </w:tcPr>
                <w:p>
                  <w:pPr>
                    <w:adjustRightInd w:val="0"/>
                    <w:snapToGrid w:val="0"/>
                    <w:jc w:val="left"/>
                    <w:rPr>
                      <w:color w:val="auto"/>
                      <w:kern w:val="0"/>
                      <w:szCs w:val="21"/>
                    </w:rPr>
                  </w:pPr>
                  <w:r>
                    <w:rPr>
                      <w:color w:val="auto"/>
                      <w:kern w:val="0"/>
                      <w:szCs w:val="21"/>
                    </w:rPr>
                    <w:t>环保设施不达标、不采用清洁能源、清洁生产指标不达标、无法达到国家及地方规定的环境保护标准的项目。</w:t>
                  </w:r>
                </w:p>
              </w:tc>
              <w:tc>
                <w:tcPr>
                  <w:tcW w:w="1744" w:type="pct"/>
                  <w:tcBorders>
                    <w:tl2br w:val="nil"/>
                    <w:tr2bl w:val="nil"/>
                  </w:tcBorders>
                  <w:vAlign w:val="center"/>
                </w:tcPr>
                <w:p>
                  <w:pPr>
                    <w:adjustRightInd w:val="0"/>
                    <w:snapToGrid w:val="0"/>
                    <w:jc w:val="left"/>
                    <w:rPr>
                      <w:color w:val="auto"/>
                      <w:kern w:val="0"/>
                      <w:szCs w:val="21"/>
                    </w:rPr>
                  </w:pPr>
                  <w:r>
                    <w:rPr>
                      <w:color w:val="auto"/>
                      <w:kern w:val="0"/>
                      <w:szCs w:val="21"/>
                    </w:rPr>
                    <w:t>高耗水项目和水污染严重产业及项目环保设施不达标、不采用清洁能源、清洁生产指标不达标的项目，园区引进无法达到国家、地方规定的环境保护标准的项目，茹河西侧至经四路设置50m防护绿地，两侧200范围内不得新、改、扩建废水排放项目。</w:t>
                  </w:r>
                </w:p>
              </w:tc>
              <w:tc>
                <w:tcPr>
                  <w:tcW w:w="641" w:type="pct"/>
                  <w:tcBorders>
                    <w:tl2br w:val="nil"/>
                    <w:tr2bl w:val="nil"/>
                  </w:tcBorders>
                  <w:noWrap/>
                  <w:vAlign w:val="center"/>
                </w:tcPr>
                <w:p>
                  <w:pPr>
                    <w:adjustRightInd w:val="0"/>
                    <w:snapToGrid w:val="0"/>
                    <w:jc w:val="center"/>
                    <w:rPr>
                      <w:color w:val="auto"/>
                      <w:kern w:val="0"/>
                      <w:szCs w:val="21"/>
                    </w:rPr>
                  </w:pPr>
                  <w:r>
                    <w:rPr>
                      <w:color w:val="auto"/>
                      <w:kern w:val="0"/>
                      <w:szCs w:val="21"/>
                    </w:rPr>
                    <w:t>符合</w:t>
                  </w:r>
                </w:p>
              </w:tc>
            </w:tr>
          </w:tbl>
          <w:p>
            <w:pPr>
              <w:adjustRightInd w:val="0"/>
              <w:snapToGrid w:val="0"/>
              <w:spacing w:line="360" w:lineRule="auto"/>
              <w:ind w:firstLine="480" w:firstLineChars="200"/>
              <w:rPr>
                <w:bCs/>
                <w:color w:val="auto"/>
                <w:kern w:val="0"/>
                <w:sz w:val="24"/>
                <w:lang w:bidi="ar"/>
              </w:rPr>
            </w:pPr>
            <w:r>
              <w:rPr>
                <w:bCs/>
                <w:color w:val="auto"/>
                <w:kern w:val="0"/>
                <w:sz w:val="24"/>
                <w:lang w:bidi="ar"/>
              </w:rPr>
              <w:t>根据上表可知，本项目不属园区生态环境准入清单中禁止、限制类项目，项目建设符合规划环评相关要求。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3" w:hRule="atLeast"/>
        </w:trPr>
        <w:tc>
          <w:tcPr>
            <w:tcW w:w="1560" w:type="dxa"/>
            <w:tcMar>
              <w:top w:w="16" w:type="dxa"/>
              <w:left w:w="16" w:type="dxa"/>
              <w:right w:w="16" w:type="dxa"/>
            </w:tcMar>
            <w:vAlign w:val="center"/>
          </w:tcPr>
          <w:p>
            <w:pPr>
              <w:autoSpaceDE w:val="0"/>
              <w:autoSpaceDN w:val="0"/>
              <w:adjustRightInd w:val="0"/>
              <w:snapToGrid w:val="0"/>
              <w:jc w:val="center"/>
              <w:rPr>
                <w:b/>
                <w:bCs/>
                <w:color w:val="auto"/>
                <w:kern w:val="0"/>
                <w:sz w:val="24"/>
              </w:rPr>
            </w:pPr>
            <w:r>
              <w:rPr>
                <w:rFonts w:hint="eastAsia"/>
                <w:b/>
                <w:bCs/>
                <w:color w:val="auto"/>
                <w:kern w:val="0"/>
                <w:sz w:val="24"/>
              </w:rPr>
              <w:t>1</w:t>
            </w:r>
            <w:r>
              <w:rPr>
                <w:b/>
                <w:bCs/>
                <w:color w:val="auto"/>
                <w:kern w:val="0"/>
                <w:sz w:val="24"/>
              </w:rPr>
              <w:t>.6其他符合性</w:t>
            </w:r>
          </w:p>
          <w:p>
            <w:pPr>
              <w:autoSpaceDE w:val="0"/>
              <w:autoSpaceDN w:val="0"/>
              <w:adjustRightInd w:val="0"/>
              <w:snapToGrid w:val="0"/>
              <w:jc w:val="center"/>
              <w:rPr>
                <w:b/>
                <w:bCs/>
                <w:color w:val="auto"/>
                <w:kern w:val="0"/>
                <w:sz w:val="24"/>
              </w:rPr>
            </w:pPr>
            <w:r>
              <w:rPr>
                <w:b/>
                <w:bCs/>
                <w:color w:val="auto"/>
                <w:kern w:val="0"/>
                <w:sz w:val="24"/>
              </w:rPr>
              <w:t>分析</w:t>
            </w:r>
          </w:p>
        </w:tc>
        <w:tc>
          <w:tcPr>
            <w:tcW w:w="7796" w:type="dxa"/>
            <w:gridSpan w:val="3"/>
            <w:tcMar>
              <w:top w:w="16" w:type="dxa"/>
              <w:left w:w="16" w:type="dxa"/>
              <w:right w:w="16" w:type="dxa"/>
            </w:tcMar>
            <w:vAlign w:val="center"/>
          </w:tcPr>
          <w:p>
            <w:pPr>
              <w:adjustRightInd w:val="0"/>
              <w:snapToGrid w:val="0"/>
              <w:spacing w:line="360" w:lineRule="auto"/>
              <w:ind w:firstLine="482" w:firstLineChars="200"/>
              <w:jc w:val="left"/>
              <w:rPr>
                <w:b/>
                <w:bCs/>
                <w:color w:val="auto"/>
                <w:sz w:val="24"/>
              </w:rPr>
            </w:pPr>
            <w:r>
              <w:rPr>
                <w:b/>
                <w:bCs/>
                <w:color w:val="auto"/>
                <w:sz w:val="24"/>
              </w:rPr>
              <w:t>1、产业政策符合性分析</w:t>
            </w:r>
          </w:p>
          <w:p>
            <w:pPr>
              <w:adjustRightInd w:val="0"/>
              <w:snapToGrid w:val="0"/>
              <w:spacing w:line="360" w:lineRule="auto"/>
              <w:ind w:firstLine="480" w:firstLineChars="200"/>
              <w:rPr>
                <w:bCs/>
                <w:color w:val="auto"/>
                <w:kern w:val="0"/>
                <w:sz w:val="24"/>
                <w:lang w:bidi="ar"/>
              </w:rPr>
            </w:pPr>
            <w:r>
              <w:rPr>
                <w:bCs/>
                <w:color w:val="auto"/>
                <w:kern w:val="0"/>
                <w:sz w:val="24"/>
                <w:lang w:bidi="ar"/>
              </w:rPr>
              <w:t>本项目</w:t>
            </w:r>
            <w:r>
              <w:rPr>
                <w:rFonts w:hint="eastAsia"/>
                <w:bCs/>
                <w:color w:val="auto"/>
                <w:kern w:val="0"/>
                <w:sz w:val="24"/>
                <w:lang w:bidi="ar"/>
              </w:rPr>
              <w:t>属于防洪除涝工程</w:t>
            </w:r>
            <w:r>
              <w:rPr>
                <w:bCs/>
                <w:color w:val="auto"/>
                <w:kern w:val="0"/>
                <w:sz w:val="24"/>
                <w:lang w:bidi="ar"/>
              </w:rPr>
              <w:t>，</w:t>
            </w:r>
            <w:r>
              <w:rPr>
                <w:rFonts w:hint="eastAsia"/>
                <w:bCs/>
                <w:color w:val="auto"/>
                <w:kern w:val="0"/>
                <w:sz w:val="24"/>
                <w:lang w:bidi="ar"/>
              </w:rPr>
              <w:t>不属于</w:t>
            </w:r>
            <w:r>
              <w:rPr>
                <w:bCs/>
                <w:color w:val="auto"/>
                <w:kern w:val="0"/>
                <w:sz w:val="24"/>
                <w:lang w:bidi="ar"/>
              </w:rPr>
              <w:t>《产业结构调整指导目录（2019年本）》</w:t>
            </w:r>
            <w:r>
              <w:rPr>
                <w:rFonts w:hint="eastAsia"/>
                <w:bCs/>
                <w:color w:val="auto"/>
                <w:kern w:val="0"/>
                <w:sz w:val="24"/>
                <w:lang w:bidi="ar"/>
              </w:rPr>
              <w:t>中“鼓励类”及“限制类”项目，属“允许类”项目，符合国家产业政策。经核实，本项目不属于</w:t>
            </w:r>
            <w:r>
              <w:rPr>
                <w:bCs/>
                <w:color w:val="auto"/>
                <w:kern w:val="0"/>
                <w:sz w:val="24"/>
                <w:lang w:bidi="ar"/>
              </w:rPr>
              <w:t>《宁夏回族自治区国家重点生态功能区产业准入负面清单（试行版）》</w:t>
            </w:r>
            <w:r>
              <w:rPr>
                <w:rFonts w:hint="eastAsia"/>
                <w:bCs/>
                <w:color w:val="auto"/>
                <w:kern w:val="0"/>
                <w:sz w:val="24"/>
                <w:lang w:bidi="ar"/>
              </w:rPr>
              <w:t>中禁止建设类项目。</w:t>
            </w:r>
          </w:p>
          <w:p>
            <w:pPr>
              <w:adjustRightInd w:val="0"/>
              <w:snapToGrid w:val="0"/>
              <w:spacing w:before="72" w:beforeLines="30" w:line="360" w:lineRule="auto"/>
              <w:ind w:firstLine="482" w:firstLineChars="200"/>
              <w:jc w:val="left"/>
              <w:rPr>
                <w:b/>
                <w:bCs/>
                <w:color w:val="auto"/>
                <w:sz w:val="24"/>
              </w:rPr>
            </w:pPr>
            <w:r>
              <w:rPr>
                <w:b/>
                <w:bCs/>
                <w:color w:val="auto"/>
                <w:sz w:val="24"/>
              </w:rPr>
              <w:t>2、相关</w:t>
            </w:r>
            <w:r>
              <w:rPr>
                <w:rFonts w:hint="eastAsia"/>
                <w:b/>
                <w:bCs/>
                <w:color w:val="auto"/>
                <w:sz w:val="24"/>
              </w:rPr>
              <w:t>规划</w:t>
            </w:r>
            <w:r>
              <w:rPr>
                <w:b/>
                <w:bCs/>
                <w:color w:val="auto"/>
                <w:sz w:val="24"/>
              </w:rPr>
              <w:t>符合性分析</w:t>
            </w:r>
          </w:p>
          <w:p>
            <w:pPr>
              <w:spacing w:line="360" w:lineRule="auto"/>
              <w:ind w:firstLine="480" w:firstLineChars="200"/>
              <w:rPr>
                <w:color w:val="auto"/>
                <w:sz w:val="24"/>
                <w:szCs w:val="22"/>
              </w:rPr>
            </w:pPr>
            <w:r>
              <w:rPr>
                <w:rFonts w:hint="eastAsia" w:ascii="宋体" w:hAnsi="宋体" w:cs="宋体"/>
                <w:color w:val="auto"/>
                <w:sz w:val="24"/>
                <w:szCs w:val="22"/>
              </w:rPr>
              <w:t>（1）与“</w:t>
            </w:r>
            <w:r>
              <w:rPr>
                <w:rFonts w:hint="eastAsia"/>
                <w:color w:val="auto"/>
                <w:sz w:val="24"/>
                <w:szCs w:val="22"/>
              </w:rPr>
              <w:t>主体</w:t>
            </w:r>
            <w:r>
              <w:rPr>
                <w:color w:val="auto"/>
                <w:sz w:val="24"/>
                <w:szCs w:val="22"/>
              </w:rPr>
              <w:t>功能区划</w:t>
            </w:r>
            <w:r>
              <w:rPr>
                <w:rFonts w:hint="eastAsia" w:ascii="宋体" w:hAnsi="宋体" w:cs="宋体"/>
                <w:color w:val="auto"/>
                <w:sz w:val="24"/>
                <w:szCs w:val="22"/>
              </w:rPr>
              <w:t>”的符合性</w:t>
            </w:r>
          </w:p>
          <w:p>
            <w:pPr>
              <w:adjustRightInd w:val="0"/>
              <w:snapToGrid w:val="0"/>
              <w:spacing w:line="360" w:lineRule="auto"/>
              <w:ind w:firstLine="480" w:firstLineChars="200"/>
              <w:rPr>
                <w:snapToGrid w:val="0"/>
                <w:color w:val="auto"/>
                <w:kern w:val="0"/>
                <w:sz w:val="24"/>
              </w:rPr>
            </w:pPr>
            <w:r>
              <w:rPr>
                <w:bCs/>
                <w:snapToGrid w:val="0"/>
                <w:color w:val="auto"/>
                <w:sz w:val="24"/>
              </w:rPr>
              <w:t>根据《</w:t>
            </w:r>
            <w:r>
              <w:rPr>
                <w:rFonts w:hint="eastAsia"/>
                <w:bCs/>
                <w:snapToGrid w:val="0"/>
                <w:color w:val="auto"/>
                <w:sz w:val="24"/>
              </w:rPr>
              <w:t>全国主体功能区规划</w:t>
            </w:r>
            <w:r>
              <w:rPr>
                <w:bCs/>
                <w:snapToGrid w:val="0"/>
                <w:color w:val="auto"/>
                <w:sz w:val="24"/>
              </w:rPr>
              <w:t>》</w:t>
            </w:r>
            <w:r>
              <w:rPr>
                <w:rFonts w:hint="eastAsia"/>
                <w:bCs/>
                <w:snapToGrid w:val="0"/>
                <w:color w:val="auto"/>
                <w:sz w:val="24"/>
              </w:rPr>
              <w:t>、《宁夏回族自治区主体功能区规划》</w:t>
            </w:r>
            <w:r>
              <w:rPr>
                <w:bCs/>
                <w:snapToGrid w:val="0"/>
                <w:color w:val="auto"/>
                <w:sz w:val="24"/>
              </w:rPr>
              <w:t>，</w:t>
            </w:r>
            <w:r>
              <w:rPr>
                <w:rFonts w:hint="eastAsia"/>
                <w:snapToGrid w:val="0"/>
                <w:color w:val="auto"/>
                <w:kern w:val="0"/>
                <w:sz w:val="24"/>
              </w:rPr>
              <w:t>本项目所在彭阳县全域属于国家重点生态功能区</w:t>
            </w:r>
            <w:r>
              <w:rPr>
                <w:snapToGrid w:val="0"/>
                <w:color w:val="auto"/>
                <w:kern w:val="0"/>
                <w:sz w:val="24"/>
              </w:rPr>
              <w:t>，</w:t>
            </w:r>
            <w:r>
              <w:rPr>
                <w:rFonts w:hint="eastAsia"/>
                <w:snapToGrid w:val="0"/>
                <w:color w:val="auto"/>
                <w:kern w:val="0"/>
                <w:sz w:val="24"/>
              </w:rPr>
              <w:t>主要的发展方向为：“大力推行节水灌溉，发展旱作节水农业。禁止陡坡垦殖。加强小流域综合治理，恢复退化植被。严格对资源开发和建设项目的监管，加大矿山环境整治修复力度，控制人为因素对土壤的侵蚀。大力发展草畜产业、马铃薯产业、林果产业、中药材产业等适合当地资源环境的特色农业和加工业，拓宽农民增收渠道，解决农民长远生计，巩固退耕还林成果。”，本项目属于矿山环境生态综合治理范畴，符合</w:t>
            </w:r>
            <w:r>
              <w:rPr>
                <w:snapToGrid w:val="0"/>
                <w:color w:val="auto"/>
                <w:kern w:val="0"/>
                <w:sz w:val="24"/>
              </w:rPr>
              <w:t>生态功能区划</w:t>
            </w:r>
            <w:r>
              <w:rPr>
                <w:rFonts w:hint="eastAsia"/>
                <w:snapToGrid w:val="0"/>
                <w:color w:val="auto"/>
                <w:kern w:val="0"/>
                <w:sz w:val="24"/>
              </w:rPr>
              <w:t>《全国主体功能区规划》、《宁夏回族自治区主体功能区规划》要求，具体见附图1</w:t>
            </w:r>
            <w:r>
              <w:rPr>
                <w:snapToGrid w:val="0"/>
                <w:color w:val="auto"/>
                <w:kern w:val="0"/>
                <w:sz w:val="24"/>
              </w:rPr>
              <w:t>。</w:t>
            </w:r>
          </w:p>
          <w:p>
            <w:pPr>
              <w:adjustRightInd w:val="0"/>
              <w:snapToGrid w:val="0"/>
              <w:spacing w:line="360" w:lineRule="auto"/>
              <w:ind w:firstLine="480" w:firstLineChars="200"/>
              <w:rPr>
                <w:bCs/>
                <w:color w:val="auto"/>
                <w:kern w:val="0"/>
                <w:sz w:val="24"/>
                <w:lang w:bidi="ar"/>
              </w:rPr>
            </w:pPr>
            <w:r>
              <w:rPr>
                <w:rFonts w:hint="eastAsia"/>
                <w:bCs/>
                <w:color w:val="auto"/>
                <w:kern w:val="0"/>
                <w:sz w:val="24"/>
                <w:lang w:bidi="ar"/>
              </w:rPr>
              <w:t>（2）与《彭阳县国土空间规划》符合性分析</w:t>
            </w:r>
          </w:p>
          <w:p>
            <w:pPr>
              <w:adjustRightInd w:val="0"/>
              <w:snapToGrid w:val="0"/>
              <w:spacing w:line="360" w:lineRule="auto"/>
              <w:ind w:firstLine="480" w:firstLineChars="200"/>
              <w:rPr>
                <w:bCs/>
                <w:snapToGrid w:val="0"/>
                <w:color w:val="auto"/>
                <w:sz w:val="24"/>
              </w:rPr>
            </w:pPr>
            <w:r>
              <w:rPr>
                <w:rFonts w:hint="eastAsia"/>
                <w:bCs/>
                <w:snapToGrid w:val="0"/>
                <w:color w:val="auto"/>
                <w:sz w:val="24"/>
              </w:rPr>
              <w:t>本项目不涉及生态保护红线、基本农田保护区、城市规划区边界，符合规划要求。</w:t>
            </w:r>
          </w:p>
          <w:p>
            <w:pPr>
              <w:adjustRightInd w:val="0"/>
              <w:snapToGrid w:val="0"/>
              <w:spacing w:line="360" w:lineRule="auto"/>
              <w:ind w:firstLine="480" w:firstLineChars="200"/>
              <w:rPr>
                <w:bCs/>
                <w:snapToGrid w:val="0"/>
                <w:color w:val="auto"/>
                <w:sz w:val="24"/>
              </w:rPr>
            </w:pPr>
            <w:r>
              <w:rPr>
                <w:rFonts w:hint="eastAsia"/>
                <w:bCs/>
                <w:snapToGrid w:val="0"/>
                <w:color w:val="auto"/>
                <w:sz w:val="24"/>
              </w:rPr>
              <w:t>（3）与《彭阳县全国生态示范区建设规划》的相符性</w:t>
            </w:r>
          </w:p>
          <w:p>
            <w:pPr>
              <w:adjustRightInd w:val="0"/>
              <w:snapToGrid w:val="0"/>
              <w:spacing w:line="360" w:lineRule="auto"/>
              <w:ind w:firstLine="480" w:firstLineChars="200"/>
              <w:rPr>
                <w:bCs/>
                <w:snapToGrid w:val="0"/>
                <w:color w:val="auto"/>
                <w:sz w:val="24"/>
              </w:rPr>
            </w:pPr>
            <w:r>
              <w:rPr>
                <w:rFonts w:hint="eastAsia"/>
                <w:bCs/>
                <w:snapToGrid w:val="0"/>
                <w:color w:val="auto"/>
                <w:sz w:val="24"/>
              </w:rPr>
              <w:t>根据《彭阳县全国生态示范区建设规划》，王洼二矿所在区域属于北部黄土丘陵区水保持性生态农业示范区，根据规划内容，区域内主要以小流域治理、实施退耕还林、建设设施农业为主。通过对王洼二矿矸石场排洪设施进行整改，实现保障王洼沟行洪畅通、区域防洪安全以及下游庙台水</w:t>
            </w:r>
          </w:p>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124" w:hRule="atLeast"/>
        </w:trPr>
        <w:tc>
          <w:tcPr>
            <w:tcW w:w="1560" w:type="dxa"/>
            <w:tcMar>
              <w:top w:w="16" w:type="dxa"/>
              <w:left w:w="16" w:type="dxa"/>
              <w:right w:w="16" w:type="dxa"/>
            </w:tcMar>
            <w:vAlign w:val="center"/>
          </w:tcPr>
          <w:p>
            <w:pPr>
              <w:autoSpaceDE w:val="0"/>
              <w:autoSpaceDN w:val="0"/>
              <w:adjustRightInd w:val="0"/>
              <w:snapToGrid w:val="0"/>
              <w:jc w:val="center"/>
              <w:rPr>
                <w:color w:val="auto"/>
                <w:kern w:val="0"/>
                <w:sz w:val="24"/>
              </w:rPr>
            </w:pPr>
            <w:bookmarkStart w:id="4" w:name="_Hlk56690880"/>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b/>
                <w:bCs/>
                <w:color w:val="auto"/>
                <w:kern w:val="0"/>
                <w:sz w:val="24"/>
              </w:rPr>
            </w:pPr>
            <w:r>
              <w:rPr>
                <w:b/>
                <w:bCs/>
                <w:color w:val="auto"/>
                <w:kern w:val="0"/>
                <w:sz w:val="24"/>
              </w:rPr>
              <w:t>其他符合性</w:t>
            </w:r>
          </w:p>
          <w:p>
            <w:pPr>
              <w:autoSpaceDE w:val="0"/>
              <w:autoSpaceDN w:val="0"/>
              <w:adjustRightInd w:val="0"/>
              <w:snapToGrid w:val="0"/>
              <w:jc w:val="center"/>
              <w:rPr>
                <w:b/>
                <w:bCs/>
                <w:color w:val="auto"/>
                <w:kern w:val="0"/>
                <w:sz w:val="24"/>
              </w:rPr>
            </w:pPr>
            <w:r>
              <w:rPr>
                <w:b/>
                <w:bCs/>
                <w:color w:val="auto"/>
                <w:kern w:val="0"/>
                <w:sz w:val="24"/>
              </w:rPr>
              <w:t>分析</w:t>
            </w:r>
            <w:bookmarkEnd w:id="4"/>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color w:val="auto"/>
                <w:kern w:val="0"/>
                <w:sz w:val="24"/>
              </w:rPr>
            </w:pPr>
          </w:p>
          <w:p>
            <w:pPr>
              <w:autoSpaceDE w:val="0"/>
              <w:autoSpaceDN w:val="0"/>
              <w:adjustRightInd w:val="0"/>
              <w:snapToGrid w:val="0"/>
              <w:jc w:val="center"/>
              <w:rPr>
                <w:b/>
                <w:bCs/>
                <w:color w:val="auto"/>
                <w:kern w:val="0"/>
                <w:sz w:val="24"/>
              </w:rPr>
            </w:pPr>
            <w:r>
              <w:rPr>
                <w:b/>
                <w:bCs/>
                <w:color w:val="auto"/>
                <w:kern w:val="0"/>
                <w:sz w:val="24"/>
              </w:rPr>
              <w:t>其他符合性分析</w:t>
            </w:r>
          </w:p>
        </w:tc>
        <w:tc>
          <w:tcPr>
            <w:tcW w:w="7796" w:type="dxa"/>
            <w:gridSpan w:val="3"/>
            <w:tcMar>
              <w:top w:w="16" w:type="dxa"/>
              <w:left w:w="16" w:type="dxa"/>
              <w:right w:w="16" w:type="dxa"/>
            </w:tcMar>
            <w:vAlign w:val="center"/>
          </w:tcPr>
          <w:p>
            <w:pPr>
              <w:pStyle w:val="40"/>
              <w:ind w:firstLine="0" w:firstLineChars="0"/>
              <w:rPr>
                <w:color w:val="auto"/>
              </w:rPr>
            </w:pPr>
            <w:r>
              <w:rPr>
                <w:rFonts w:hint="eastAsia"/>
                <w:bCs/>
                <w:color w:val="auto"/>
              </w:rPr>
              <w:t>库水质安全，符合规划要求。</w:t>
            </w:r>
          </w:p>
          <w:p>
            <w:pPr>
              <w:pStyle w:val="40"/>
              <w:rPr>
                <w:color w:val="auto"/>
              </w:rPr>
            </w:pPr>
            <w:r>
              <w:rPr>
                <w:rFonts w:hint="eastAsia"/>
                <w:color w:val="auto"/>
              </w:rPr>
              <w:t>（</w:t>
            </w:r>
            <w:r>
              <w:rPr>
                <w:color w:val="auto"/>
              </w:rPr>
              <w:t>3</w:t>
            </w:r>
            <w:r>
              <w:rPr>
                <w:rFonts w:hint="eastAsia"/>
                <w:color w:val="auto"/>
              </w:rPr>
              <w:t>）与《水利建设项目（河湖整治与防洪除涝工程）环境影响评价文件审批原则》的相符性分析</w:t>
            </w:r>
          </w:p>
          <w:p>
            <w:pPr>
              <w:pStyle w:val="40"/>
              <w:rPr>
                <w:color w:val="auto"/>
              </w:rPr>
            </w:pPr>
            <w:r>
              <w:rPr>
                <w:rFonts w:hint="eastAsia"/>
                <w:color w:val="auto"/>
              </w:rPr>
              <w:t>经对照《水利建设项目（河湖整治与防洪除涝工程）环境影响评价文件审批原则》，本项目建设内容符合相关要求，具体见表1-</w:t>
            </w:r>
            <w:r>
              <w:rPr>
                <w:color w:val="auto"/>
              </w:rPr>
              <w:t>3</w:t>
            </w:r>
            <w:r>
              <w:rPr>
                <w:rFonts w:hint="eastAsia"/>
                <w:color w:val="auto"/>
              </w:rPr>
              <w:t>。</w:t>
            </w:r>
          </w:p>
          <w:p>
            <w:pPr>
              <w:pStyle w:val="3"/>
              <w:widowControl w:val="0"/>
              <w:kinsoku w:val="0"/>
              <w:overflowPunct w:val="0"/>
              <w:spacing w:before="0" w:after="0" w:line="240" w:lineRule="auto"/>
              <w:ind w:right="0"/>
              <w:jc w:val="center"/>
              <w:rPr>
                <w:b/>
                <w:bCs/>
                <w:color w:val="auto"/>
                <w:sz w:val="21"/>
                <w:szCs w:val="21"/>
              </w:rPr>
            </w:pPr>
            <w:r>
              <w:rPr>
                <w:b/>
                <w:bCs/>
                <w:color w:val="auto"/>
                <w:sz w:val="21"/>
                <w:szCs w:val="21"/>
              </w:rPr>
              <w:t xml:space="preserve">表 </w:t>
            </w:r>
            <w:r>
              <w:rPr>
                <w:rFonts w:hint="eastAsia"/>
                <w:b/>
                <w:bCs/>
                <w:color w:val="auto"/>
                <w:sz w:val="21"/>
                <w:szCs w:val="21"/>
              </w:rPr>
              <w:t>1-</w:t>
            </w:r>
            <w:r>
              <w:rPr>
                <w:b/>
                <w:bCs/>
                <w:color w:val="auto"/>
                <w:sz w:val="21"/>
                <w:szCs w:val="21"/>
              </w:rPr>
              <w:t xml:space="preserve">3    </w:t>
            </w:r>
            <w:r>
              <w:rPr>
                <w:rFonts w:hint="eastAsia"/>
                <w:b/>
                <w:bCs/>
                <w:color w:val="auto"/>
                <w:sz w:val="21"/>
                <w:szCs w:val="21"/>
              </w:rPr>
              <w:t>与《水利建设项目（河湖整治与防洪除涝工程）环境影响评价文件审批原则》符合性分析</w:t>
            </w:r>
          </w:p>
          <w:tbl>
            <w:tblPr>
              <w:tblStyle w:val="19"/>
              <w:tblW w:w="492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4161"/>
              <w:gridCol w:w="2068"/>
              <w:gridCol w:w="68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序号</w:t>
                  </w:r>
                </w:p>
              </w:tc>
              <w:tc>
                <w:tcPr>
                  <w:tcW w:w="2722"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审批原则</w:t>
                  </w:r>
                </w:p>
              </w:tc>
              <w:tc>
                <w:tcPr>
                  <w:tcW w:w="1353"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本项目</w:t>
                  </w:r>
                </w:p>
              </w:tc>
              <w:tc>
                <w:tcPr>
                  <w:tcW w:w="450"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相符性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1</w:t>
                  </w:r>
                </w:p>
              </w:tc>
              <w:tc>
                <w:tcPr>
                  <w:tcW w:w="2722"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 xml:space="preserve">第二条 </w:t>
                  </w:r>
                  <w:r>
                    <w:rPr>
                      <w:color w:val="auto"/>
                      <w:kern w:val="0"/>
                      <w:szCs w:val="21"/>
                    </w:rPr>
                    <w:t xml:space="preserve"> 项目符合环境保护相关法律法规和政策要求，与主体功能区规划、生态功能区划、水环境功能区划、水功能区划、生态环境保护规划、流域综合规划、防洪规划等相协调， 满足相关规划环评要求。工程涉及岸线调整</w:t>
                  </w:r>
                  <w:r>
                    <w:rPr>
                      <w:rFonts w:hint="eastAsia"/>
                      <w:color w:val="auto"/>
                      <w:kern w:val="0"/>
                      <w:szCs w:val="21"/>
                    </w:rPr>
                    <w:t>（</w:t>
                  </w:r>
                  <w:r>
                    <w:rPr>
                      <w:color w:val="auto"/>
                      <w:kern w:val="0"/>
                      <w:szCs w:val="21"/>
                    </w:rPr>
                    <w:t>治导线变化）、裁弯取直、围垦水面和占用河湖滩地等建设内容的，充分论证了方案环境可行性，最大程度保持了河湖自然形态，最大限度维护了河湖健康、生态系统功能和生物多样性。</w:t>
                  </w:r>
                </w:p>
              </w:tc>
              <w:tc>
                <w:tcPr>
                  <w:tcW w:w="1353"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本项目属于防洪治理工程，符合</w:t>
                  </w:r>
                  <w:r>
                    <w:rPr>
                      <w:color w:val="auto"/>
                      <w:kern w:val="0"/>
                      <w:szCs w:val="21"/>
                    </w:rPr>
                    <w:t>环境保护相关法律法规和政策要求</w:t>
                  </w:r>
                  <w:r>
                    <w:rPr>
                      <w:rFonts w:hint="eastAsia"/>
                      <w:color w:val="auto"/>
                      <w:kern w:val="0"/>
                      <w:szCs w:val="21"/>
                    </w:rPr>
                    <w:t>；不</w:t>
                  </w:r>
                  <w:r>
                    <w:rPr>
                      <w:color w:val="auto"/>
                      <w:kern w:val="0"/>
                      <w:szCs w:val="21"/>
                    </w:rPr>
                    <w:t>涉及岸线调整</w:t>
                  </w:r>
                  <w:r>
                    <w:rPr>
                      <w:rFonts w:hint="eastAsia"/>
                      <w:color w:val="auto"/>
                      <w:kern w:val="0"/>
                      <w:szCs w:val="21"/>
                    </w:rPr>
                    <w:t>（</w:t>
                  </w:r>
                  <w:r>
                    <w:rPr>
                      <w:color w:val="auto"/>
                      <w:kern w:val="0"/>
                      <w:szCs w:val="21"/>
                    </w:rPr>
                    <w:t>治导线变化）、裁弯取直、围垦水面和占用河湖滩地等</w:t>
                  </w:r>
                </w:p>
              </w:tc>
              <w:tc>
                <w:tcPr>
                  <w:tcW w:w="450"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2</w:t>
                  </w:r>
                </w:p>
              </w:tc>
              <w:tc>
                <w:tcPr>
                  <w:tcW w:w="2722"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 xml:space="preserve">第三条 </w:t>
                  </w:r>
                  <w:r>
                    <w:rPr>
                      <w:color w:val="auto"/>
                      <w:kern w:val="0"/>
                      <w:szCs w:val="21"/>
                    </w:rPr>
                    <w:t xml:space="preserve"> 工程选址</w:t>
                  </w:r>
                  <w:r>
                    <w:rPr>
                      <w:rFonts w:hint="eastAsia"/>
                      <w:color w:val="auto"/>
                      <w:kern w:val="0"/>
                      <w:szCs w:val="21"/>
                    </w:rPr>
                    <w:t>选线</w:t>
                  </w:r>
                  <w:r>
                    <w:rPr>
                      <w:color w:val="auto"/>
                      <w:kern w:val="0"/>
                      <w:szCs w:val="21"/>
                    </w:rPr>
                    <w:t>、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1353"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本项目不涉及自然保护地等</w:t>
                  </w:r>
                </w:p>
              </w:tc>
              <w:tc>
                <w:tcPr>
                  <w:tcW w:w="450"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3</w:t>
                  </w:r>
                </w:p>
              </w:tc>
              <w:tc>
                <w:tcPr>
                  <w:tcW w:w="2722"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第四条</w:t>
                  </w:r>
                  <w:r>
                    <w:rPr>
                      <w:rFonts w:hint="eastAsia"/>
                      <w:color w:val="auto"/>
                      <w:kern w:val="0"/>
                      <w:szCs w:val="21"/>
                    </w:rPr>
                    <w:t xml:space="preserve"> </w:t>
                  </w:r>
                  <w:r>
                    <w:rPr>
                      <w:color w:val="auto"/>
                      <w:kern w:val="0"/>
                      <w:szCs w:val="21"/>
                    </w:rPr>
                    <w:t xml:space="preserve"> 项目实施改变水动力条件或水文过程且对水质产生不</w:t>
                  </w:r>
                  <w:r>
                    <w:rPr>
                      <w:rFonts w:hint="eastAsia"/>
                      <w:color w:val="auto"/>
                      <w:kern w:val="0"/>
                      <w:szCs w:val="21"/>
                    </w:rPr>
                    <w:t>利</w:t>
                  </w:r>
                  <w:r>
                    <w:rPr>
                      <w:color w:val="auto"/>
                      <w:kern w:val="0"/>
                      <w:szCs w:val="21"/>
                    </w:rPr>
                    <w:t>影响的，提出了工程优化调整、科学</w:t>
                  </w:r>
                  <w:r>
                    <w:rPr>
                      <w:rFonts w:hint="eastAsia"/>
                      <w:color w:val="auto"/>
                      <w:kern w:val="0"/>
                      <w:szCs w:val="21"/>
                    </w:rPr>
                    <w:t>调度</w:t>
                  </w:r>
                  <w:r>
                    <w:rPr>
                      <w:color w:val="auto"/>
                      <w:kern w:val="0"/>
                      <w:szCs w:val="21"/>
                    </w:rPr>
                    <w:t>、实施区域流域水污染防治等措施．对地下水环境产生不利影响或次生环境影响的</w:t>
                  </w:r>
                  <w:r>
                    <w:rPr>
                      <w:rFonts w:hint="eastAsia"/>
                      <w:color w:val="auto"/>
                      <w:kern w:val="0"/>
                      <w:szCs w:val="21"/>
                    </w:rPr>
                    <w:t>，</w:t>
                  </w:r>
                  <w:r>
                    <w:rPr>
                      <w:color w:val="auto"/>
                      <w:kern w:val="0"/>
                      <w:szCs w:val="21"/>
                    </w:rPr>
                    <w:t>提出了优化工程设计、导排、防护等针对性的防治措施。在采取上述措施后，对水环境的不利影响能够得到缓解和控制，居民用水安全能够得到保障</w:t>
                  </w:r>
                  <w:r>
                    <w:rPr>
                      <w:rFonts w:hint="eastAsia"/>
                      <w:color w:val="auto"/>
                      <w:kern w:val="0"/>
                      <w:szCs w:val="21"/>
                    </w:rPr>
                    <w:t>，</w:t>
                  </w:r>
                  <w:r>
                    <w:rPr>
                      <w:color w:val="auto"/>
                      <w:kern w:val="0"/>
                      <w:szCs w:val="21"/>
                    </w:rPr>
                    <w:t>相关区域不会出现显著的土壤潜育化、沼泽化、盐碱化等次生环境问题。</w:t>
                  </w:r>
                </w:p>
              </w:tc>
              <w:tc>
                <w:tcPr>
                  <w:tcW w:w="1353"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本</w:t>
                  </w:r>
                  <w:r>
                    <w:rPr>
                      <w:color w:val="auto"/>
                      <w:kern w:val="0"/>
                      <w:szCs w:val="21"/>
                    </w:rPr>
                    <w:t>项目实施</w:t>
                  </w:r>
                  <w:r>
                    <w:rPr>
                      <w:rFonts w:hint="eastAsia"/>
                      <w:color w:val="auto"/>
                      <w:kern w:val="0"/>
                      <w:szCs w:val="21"/>
                    </w:rPr>
                    <w:t>不</w:t>
                  </w:r>
                  <w:r>
                    <w:rPr>
                      <w:color w:val="auto"/>
                      <w:kern w:val="0"/>
                      <w:szCs w:val="21"/>
                    </w:rPr>
                    <w:t>改变水动力条件或水文过程</w:t>
                  </w:r>
                </w:p>
              </w:tc>
              <w:tc>
                <w:tcPr>
                  <w:tcW w:w="450"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4</w:t>
                  </w:r>
                </w:p>
              </w:tc>
              <w:tc>
                <w:tcPr>
                  <w:tcW w:w="2722"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第五条</w:t>
                  </w:r>
                  <w:r>
                    <w:rPr>
                      <w:rFonts w:hint="eastAsia"/>
                      <w:color w:val="auto"/>
                      <w:kern w:val="0"/>
                      <w:szCs w:val="21"/>
                    </w:rPr>
                    <w:t xml:space="preserve"> </w:t>
                  </w:r>
                  <w:r>
                    <w:rPr>
                      <w:color w:val="auto"/>
                      <w:kern w:val="0"/>
                      <w:szCs w:val="21"/>
                    </w:rPr>
                    <w:t xml:space="preserve"> 项目对鱼类等水生生物的泪游通道及“三场”等重要生境、物种多样性及资源量等产生不利影响的</w:t>
                  </w:r>
                  <w:r>
                    <w:rPr>
                      <w:rFonts w:hint="eastAsia"/>
                      <w:color w:val="auto"/>
                      <w:kern w:val="0"/>
                      <w:szCs w:val="21"/>
                    </w:rPr>
                    <w:t>，</w:t>
                  </w:r>
                  <w:r>
                    <w:rPr>
                      <w:color w:val="auto"/>
                      <w:kern w:val="0"/>
                      <w:szCs w:val="21"/>
                    </w:rPr>
                    <w:t>提出了下泄生态流量、恢复鱼类</w:t>
                  </w:r>
                  <w:r>
                    <w:rPr>
                      <w:rFonts w:hint="eastAsia"/>
                      <w:color w:val="auto"/>
                      <w:kern w:val="0"/>
                      <w:szCs w:val="21"/>
                    </w:rPr>
                    <w:t>洄游</w:t>
                  </w:r>
                  <w:r>
                    <w:rPr>
                      <w:color w:val="auto"/>
                      <w:kern w:val="0"/>
                      <w:szCs w:val="21"/>
                    </w:rPr>
                    <w:t>通道、采用生态友好型护岸（</w:t>
                  </w:r>
                  <w:r>
                    <w:rPr>
                      <w:rFonts w:hint="eastAsia"/>
                      <w:color w:val="auto"/>
                      <w:kern w:val="0"/>
                      <w:szCs w:val="21"/>
                    </w:rPr>
                    <w:t>坡、</w:t>
                  </w:r>
                  <w:r>
                    <w:rPr>
                      <w:color w:val="auto"/>
                      <w:kern w:val="0"/>
                      <w:szCs w:val="21"/>
                    </w:rPr>
                    <w:t>底</w:t>
                  </w:r>
                  <w:r>
                    <w:rPr>
                      <w:rFonts w:hint="eastAsia"/>
                      <w:color w:val="auto"/>
                      <w:kern w:val="0"/>
                      <w:szCs w:val="21"/>
                    </w:rPr>
                    <w:t>）</w:t>
                  </w:r>
                  <w:r>
                    <w:rPr>
                      <w:color w:val="auto"/>
                      <w:kern w:val="0"/>
                      <w:szCs w:val="21"/>
                    </w:rPr>
                    <w:t>、生态修复、增殖放流等措施。在采取上述措施后，对水生生物的不利影响能够得到缓解和控制，不会造成原有珍稀濒危保护、区域特有或重要经济水生生物在相关河段消失，不会对相关河段水生生态系统造成重大不利影响。</w:t>
                  </w:r>
                </w:p>
              </w:tc>
              <w:tc>
                <w:tcPr>
                  <w:tcW w:w="1353"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本</w:t>
                  </w:r>
                  <w:r>
                    <w:rPr>
                      <w:color w:val="auto"/>
                      <w:kern w:val="0"/>
                      <w:szCs w:val="21"/>
                    </w:rPr>
                    <w:t>项目</w:t>
                  </w:r>
                  <w:r>
                    <w:rPr>
                      <w:rFonts w:hint="eastAsia"/>
                      <w:color w:val="auto"/>
                      <w:kern w:val="0"/>
                      <w:szCs w:val="21"/>
                    </w:rPr>
                    <w:t>所在区域不涉及鱼类三场等</w:t>
                  </w:r>
                </w:p>
              </w:tc>
              <w:tc>
                <w:tcPr>
                  <w:tcW w:w="450"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5</w:t>
                  </w:r>
                </w:p>
              </w:tc>
              <w:tc>
                <w:tcPr>
                  <w:tcW w:w="2722"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第六条</w:t>
                  </w:r>
                  <w:r>
                    <w:rPr>
                      <w:rFonts w:hint="eastAsia"/>
                      <w:color w:val="auto"/>
                      <w:kern w:val="0"/>
                      <w:szCs w:val="21"/>
                    </w:rPr>
                    <w:t xml:space="preserve"> </w:t>
                  </w:r>
                  <w:r>
                    <w:rPr>
                      <w:color w:val="auto"/>
                      <w:kern w:val="0"/>
                      <w:szCs w:val="21"/>
                    </w:rPr>
                    <w:t xml:space="preserve"> 项目对湿地生态系统结构和功能、河湖生态缓冲带造成不利影响的，提出了优化工程设计及调度运行方案、生态修复等措施。对珍稀濒危保护植物造成不利影响的， 提出了避让、原位防护、移栽等措施。对陆生珍稀濒危保护动物及其生境造成不利影响的，提出了避让、救护、迂徒廊道构建、生境再造等措施。对景观产生不利</w:t>
                  </w:r>
                  <w:r>
                    <w:rPr>
                      <w:rFonts w:hint="eastAsia"/>
                      <w:color w:val="auto"/>
                      <w:kern w:val="0"/>
                      <w:szCs w:val="21"/>
                    </w:rPr>
                    <w:t>影响</w:t>
                  </w:r>
                  <w:r>
                    <w:rPr>
                      <w:color w:val="auto"/>
                      <w:kern w:val="0"/>
                      <w:szCs w:val="21"/>
                    </w:rPr>
                    <w:t>的， 提出了避让、优化设计、景观塑造等措施。在采取上述措施后，对湿地以及陆生动植物的不利影响能够得到缓解和控制</w:t>
                  </w:r>
                  <w:r>
                    <w:rPr>
                      <w:rFonts w:hint="eastAsia"/>
                      <w:color w:val="auto"/>
                      <w:kern w:val="0"/>
                      <w:szCs w:val="21"/>
                    </w:rPr>
                    <w:t>，</w:t>
                  </w:r>
                  <w:r>
                    <w:rPr>
                      <w:color w:val="auto"/>
                      <w:kern w:val="0"/>
                      <w:szCs w:val="21"/>
                    </w:rPr>
                    <w:t>与区域景观相协调，不会造成原有珍稀濒危保护动植物在相关区域消失，不会对陆生生态系统造成重大</w:t>
                  </w:r>
                  <w:r>
                    <w:rPr>
                      <w:rFonts w:hint="eastAsia"/>
                      <w:color w:val="auto"/>
                      <w:kern w:val="0"/>
                      <w:szCs w:val="21"/>
                    </w:rPr>
                    <w:t>不利</w:t>
                  </w:r>
                  <w:r>
                    <w:rPr>
                      <w:color w:val="auto"/>
                      <w:kern w:val="0"/>
                      <w:szCs w:val="21"/>
                    </w:rPr>
                    <w:t>影响。</w:t>
                  </w:r>
                </w:p>
              </w:tc>
              <w:tc>
                <w:tcPr>
                  <w:tcW w:w="1353"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本项目不涉及湿地生态系统，所在区域无珍稀濒危植物及动物分布。</w:t>
                  </w:r>
                </w:p>
              </w:tc>
              <w:tc>
                <w:tcPr>
                  <w:tcW w:w="450"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6</w:t>
                  </w:r>
                </w:p>
              </w:tc>
              <w:tc>
                <w:tcPr>
                  <w:tcW w:w="2722"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第七条</w:t>
                  </w:r>
                  <w:r>
                    <w:rPr>
                      <w:rFonts w:hint="eastAsia"/>
                      <w:color w:val="auto"/>
                      <w:kern w:val="0"/>
                      <w:szCs w:val="21"/>
                    </w:rPr>
                    <w:t xml:space="preserve"> </w:t>
                  </w:r>
                  <w:r>
                    <w:rPr>
                      <w:color w:val="auto"/>
                      <w:kern w:val="0"/>
                      <w:szCs w:val="21"/>
                    </w:rPr>
                    <w:t xml:space="preserve"> 项目施工组织方案具有</w:t>
                  </w:r>
                  <w:r>
                    <w:rPr>
                      <w:rFonts w:hint="eastAsia"/>
                      <w:color w:val="auto"/>
                      <w:kern w:val="0"/>
                      <w:szCs w:val="21"/>
                    </w:rPr>
                    <w:t>环境</w:t>
                  </w:r>
                  <w:r>
                    <w:rPr>
                      <w:color w:val="auto"/>
                      <w:kern w:val="0"/>
                      <w:szCs w:val="21"/>
                    </w:rPr>
                    <w:t>合理性，对料场、弃土</w:t>
                  </w:r>
                  <w:r>
                    <w:rPr>
                      <w:rFonts w:hint="eastAsia"/>
                      <w:color w:val="auto"/>
                      <w:kern w:val="0"/>
                      <w:szCs w:val="21"/>
                    </w:rPr>
                    <w:t>（渣）</w:t>
                  </w:r>
                  <w:r>
                    <w:rPr>
                      <w:color w:val="auto"/>
                      <w:kern w:val="0"/>
                      <w:szCs w:val="21"/>
                    </w:rPr>
                    <w:t>场等施工场地提出了水土流失防治和生态修复等措施。根据环境保护相关标准和要求，对施工期各类废（污）水、扬尘、废气、噪声、固体废物等提出了防治或处置措施。其中， 涉水施工涉及饮用水水源保护区或取水口并可能对水质造成不利影响的， 提出了避让、施工方案优化、污染物控制等措施；涉水施工对鱼类等水生生物及其重要生境造成不利影响的，提出了避让、施工方案优化、控制施工噪声等措施： 针对清淤、疏泼等产生的淤泥，提出了符合相关规定的处置或综合利用方案。在采取上述措施后， 施工期的不利环境影响能够得到缓解和控制，不会对周回环境和敏感保护目标造成重大不利影响</w:t>
                  </w:r>
                  <w:r>
                    <w:rPr>
                      <w:rFonts w:hint="eastAsia"/>
                      <w:color w:val="auto"/>
                      <w:kern w:val="0"/>
                      <w:szCs w:val="21"/>
                    </w:rPr>
                    <w:t>。</w:t>
                  </w:r>
                </w:p>
              </w:tc>
              <w:tc>
                <w:tcPr>
                  <w:tcW w:w="1353"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本项目</w:t>
                  </w:r>
                  <w:r>
                    <w:rPr>
                      <w:color w:val="auto"/>
                      <w:kern w:val="0"/>
                      <w:szCs w:val="21"/>
                    </w:rPr>
                    <w:t>对料场等施工场地提出了水土流失防治和生态修复等措施</w:t>
                  </w:r>
                </w:p>
              </w:tc>
              <w:tc>
                <w:tcPr>
                  <w:tcW w:w="450"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7</w:t>
                  </w:r>
                </w:p>
              </w:tc>
              <w:tc>
                <w:tcPr>
                  <w:tcW w:w="2722"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第八条</w:t>
                  </w:r>
                  <w:r>
                    <w:rPr>
                      <w:rFonts w:hint="eastAsia"/>
                      <w:color w:val="auto"/>
                      <w:kern w:val="0"/>
                      <w:szCs w:val="21"/>
                    </w:rPr>
                    <w:t xml:space="preserve"> </w:t>
                  </w:r>
                  <w:r>
                    <w:rPr>
                      <w:color w:val="auto"/>
                      <w:kern w:val="0"/>
                      <w:szCs w:val="21"/>
                    </w:rPr>
                    <w:t xml:space="preserve"> 项目移民安置的选址和建设方式具有环境合理性，提出了生态保护、污水处理、固体废物处置等措施。针对蓄滞洪区的环境污染、新增占地涉及污染场地等，提出了环境管理对策建议</w:t>
                  </w:r>
                  <w:r>
                    <w:rPr>
                      <w:rFonts w:hint="eastAsia"/>
                      <w:color w:val="auto"/>
                      <w:kern w:val="0"/>
                      <w:szCs w:val="21"/>
                    </w:rPr>
                    <w:t>。</w:t>
                  </w:r>
                </w:p>
              </w:tc>
              <w:tc>
                <w:tcPr>
                  <w:tcW w:w="1353"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本项目不涉及移民安置</w:t>
                  </w:r>
                </w:p>
              </w:tc>
              <w:tc>
                <w:tcPr>
                  <w:tcW w:w="450"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8</w:t>
                  </w:r>
                </w:p>
              </w:tc>
              <w:tc>
                <w:tcPr>
                  <w:tcW w:w="2722"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第九条</w:t>
                  </w:r>
                  <w:r>
                    <w:rPr>
                      <w:rFonts w:hint="eastAsia"/>
                      <w:color w:val="auto"/>
                      <w:kern w:val="0"/>
                      <w:szCs w:val="21"/>
                    </w:rPr>
                    <w:t xml:space="preserve"> </w:t>
                  </w:r>
                  <w:r>
                    <w:rPr>
                      <w:color w:val="auto"/>
                      <w:kern w:val="0"/>
                      <w:szCs w:val="21"/>
                    </w:rPr>
                    <w:t xml:space="preserve"> 项目存在河湖水质污染</w:t>
                  </w:r>
                  <w:r>
                    <w:rPr>
                      <w:rFonts w:hint="eastAsia"/>
                      <w:color w:val="auto"/>
                      <w:kern w:val="0"/>
                      <w:szCs w:val="21"/>
                    </w:rPr>
                    <w:t>、</w:t>
                  </w:r>
                  <w:r>
                    <w:rPr>
                      <w:color w:val="auto"/>
                      <w:kern w:val="0"/>
                      <w:szCs w:val="21"/>
                    </w:rPr>
                    <w:t>富营养化或外来物种入侵等环境风险的，提出了针对性的风险防范措施以及环境应急预案编制、建立必要的应急联动机制等要求。</w:t>
                  </w:r>
                </w:p>
              </w:tc>
              <w:tc>
                <w:tcPr>
                  <w:tcW w:w="1353"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本项目不排放污染物，不</w:t>
                  </w:r>
                  <w:r>
                    <w:rPr>
                      <w:color w:val="auto"/>
                      <w:kern w:val="0"/>
                      <w:szCs w:val="21"/>
                    </w:rPr>
                    <w:t>存在河湖水质污染</w:t>
                  </w:r>
                  <w:r>
                    <w:rPr>
                      <w:rFonts w:hint="eastAsia"/>
                      <w:color w:val="auto"/>
                      <w:kern w:val="0"/>
                      <w:szCs w:val="21"/>
                    </w:rPr>
                    <w:t>、</w:t>
                  </w:r>
                  <w:r>
                    <w:rPr>
                      <w:color w:val="auto"/>
                      <w:kern w:val="0"/>
                      <w:szCs w:val="21"/>
                    </w:rPr>
                    <w:t>富营养化或外来物种入侵风险</w:t>
                  </w:r>
                </w:p>
              </w:tc>
              <w:tc>
                <w:tcPr>
                  <w:tcW w:w="450"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4"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9</w:t>
                  </w:r>
                </w:p>
              </w:tc>
              <w:tc>
                <w:tcPr>
                  <w:tcW w:w="2722" w:type="pct"/>
                  <w:tcBorders>
                    <w:tl2br w:val="nil"/>
                    <w:tr2bl w:val="nil"/>
                  </w:tcBorders>
                  <w:vAlign w:val="center"/>
                </w:tcPr>
                <w:p>
                  <w:pPr>
                    <w:pStyle w:val="27"/>
                    <w:kinsoku w:val="0"/>
                    <w:overflowPunct w:val="0"/>
                    <w:adjustRightInd w:val="0"/>
                    <w:snapToGrid w:val="0"/>
                    <w:jc w:val="center"/>
                    <w:rPr>
                      <w:color w:val="auto"/>
                      <w:kern w:val="0"/>
                      <w:szCs w:val="21"/>
                    </w:rPr>
                  </w:pPr>
                  <w:r>
                    <w:rPr>
                      <w:color w:val="auto"/>
                      <w:kern w:val="0"/>
                      <w:szCs w:val="21"/>
                    </w:rPr>
                    <w:t>第十条</w:t>
                  </w:r>
                  <w:r>
                    <w:rPr>
                      <w:rFonts w:hint="eastAsia"/>
                      <w:color w:val="auto"/>
                      <w:kern w:val="0"/>
                      <w:szCs w:val="21"/>
                    </w:rPr>
                    <w:t xml:space="preserve"> </w:t>
                  </w:r>
                  <w:r>
                    <w:rPr>
                      <w:color w:val="auto"/>
                      <w:kern w:val="0"/>
                      <w:szCs w:val="21"/>
                    </w:rPr>
                    <w:t xml:space="preserve"> 改、扩建项目在全面梳理了与项目有关的现有工程环境问题基础上，提出了与项目相适应的</w:t>
                  </w:r>
                  <w:r>
                    <w:rPr>
                      <w:rFonts w:hint="eastAsia"/>
                      <w:color w:val="auto"/>
                      <w:kern w:val="0"/>
                      <w:szCs w:val="21"/>
                    </w:rPr>
                    <w:t>“</w:t>
                  </w:r>
                  <w:r>
                    <w:rPr>
                      <w:color w:val="auto"/>
                      <w:kern w:val="0"/>
                      <w:szCs w:val="21"/>
                    </w:rPr>
                    <w:t>以新带老</w:t>
                  </w:r>
                  <w:r>
                    <w:rPr>
                      <w:rFonts w:hint="eastAsia"/>
                      <w:color w:val="auto"/>
                      <w:kern w:val="0"/>
                      <w:szCs w:val="21"/>
                    </w:rPr>
                    <w:t>”</w:t>
                  </w:r>
                  <w:r>
                    <w:rPr>
                      <w:color w:val="auto"/>
                      <w:kern w:val="0"/>
                      <w:szCs w:val="21"/>
                    </w:rPr>
                    <w:t>措施。</w:t>
                  </w:r>
                </w:p>
              </w:tc>
              <w:tc>
                <w:tcPr>
                  <w:tcW w:w="1353"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本项目属于王洼二矿矸石场防洪工程，提出了“</w:t>
                  </w:r>
                  <w:r>
                    <w:rPr>
                      <w:color w:val="auto"/>
                      <w:kern w:val="0"/>
                      <w:szCs w:val="21"/>
                    </w:rPr>
                    <w:t>以新带老</w:t>
                  </w:r>
                  <w:r>
                    <w:rPr>
                      <w:rFonts w:hint="eastAsia"/>
                      <w:color w:val="auto"/>
                      <w:kern w:val="0"/>
                      <w:szCs w:val="21"/>
                    </w:rPr>
                    <w:t>”</w:t>
                  </w:r>
                  <w:r>
                    <w:rPr>
                      <w:color w:val="auto"/>
                      <w:kern w:val="0"/>
                      <w:szCs w:val="21"/>
                    </w:rPr>
                    <w:t>措施</w:t>
                  </w:r>
                </w:p>
              </w:tc>
              <w:tc>
                <w:tcPr>
                  <w:tcW w:w="450" w:type="pct"/>
                  <w:tcBorders>
                    <w:tl2br w:val="nil"/>
                    <w:tr2bl w:val="nil"/>
                  </w:tcBorders>
                  <w:vAlign w:val="center"/>
                </w:tcPr>
                <w:p>
                  <w:pPr>
                    <w:pStyle w:val="27"/>
                    <w:kinsoku w:val="0"/>
                    <w:overflowPunct w:val="0"/>
                    <w:adjustRightInd w:val="0"/>
                    <w:snapToGrid w:val="0"/>
                    <w:jc w:val="center"/>
                    <w:rPr>
                      <w:color w:val="auto"/>
                      <w:kern w:val="0"/>
                      <w:szCs w:val="21"/>
                    </w:rPr>
                  </w:pPr>
                  <w:r>
                    <w:rPr>
                      <w:rFonts w:hint="eastAsia"/>
                      <w:color w:val="auto"/>
                      <w:kern w:val="0"/>
                      <w:szCs w:val="21"/>
                    </w:rPr>
                    <w:t>符合</w:t>
                  </w:r>
                </w:p>
              </w:tc>
            </w:tr>
          </w:tbl>
          <w:p>
            <w:pPr>
              <w:adjustRightInd w:val="0"/>
              <w:snapToGrid w:val="0"/>
              <w:spacing w:line="360" w:lineRule="auto"/>
              <w:ind w:firstLine="482" w:firstLineChars="200"/>
              <w:rPr>
                <w:bCs/>
                <w:color w:val="auto"/>
                <w:kern w:val="0"/>
                <w:sz w:val="24"/>
                <w:lang w:bidi="ar"/>
              </w:rPr>
            </w:pPr>
            <w:r>
              <w:rPr>
                <w:rFonts w:hint="eastAsia"/>
                <w:b/>
                <w:bCs/>
                <w:color w:val="auto"/>
                <w:sz w:val="24"/>
              </w:rPr>
              <w:t>3</w:t>
            </w:r>
            <w:r>
              <w:rPr>
                <w:b/>
                <w:bCs/>
                <w:color w:val="auto"/>
                <w:sz w:val="24"/>
              </w:rPr>
              <w:t>、</w:t>
            </w:r>
            <w:r>
              <w:rPr>
                <w:rFonts w:hint="eastAsia"/>
                <w:b/>
                <w:bCs/>
                <w:color w:val="auto"/>
                <w:sz w:val="24"/>
              </w:rPr>
              <w:t>“三线一单”符合性分析</w:t>
            </w:r>
          </w:p>
          <w:p>
            <w:pPr>
              <w:adjustRightInd w:val="0"/>
              <w:snapToGrid w:val="0"/>
              <w:spacing w:line="360" w:lineRule="auto"/>
              <w:ind w:left="40" w:right="60" w:firstLine="500"/>
              <w:rPr>
                <w:color w:val="auto"/>
                <w:sz w:val="24"/>
                <w:lang w:val="zh-TW"/>
              </w:rPr>
            </w:pPr>
            <w:r>
              <w:rPr>
                <w:rFonts w:hint="eastAsia" w:ascii="宋体" w:hAnsi="宋体" w:cs="宋体"/>
                <w:color w:val="auto"/>
                <w:sz w:val="24"/>
                <w:lang w:val="zh-TW"/>
              </w:rPr>
              <w:t>①</w:t>
            </w:r>
            <w:r>
              <w:rPr>
                <w:color w:val="auto"/>
                <w:sz w:val="24"/>
                <w:lang w:val="zh-TW"/>
              </w:rPr>
              <w:t>生态保护红线</w:t>
            </w:r>
          </w:p>
          <w:p>
            <w:pPr>
              <w:adjustRightInd w:val="0"/>
              <w:snapToGrid w:val="0"/>
              <w:spacing w:line="360" w:lineRule="auto"/>
              <w:ind w:firstLine="480"/>
              <w:rPr>
                <w:color w:val="auto"/>
                <w:sz w:val="24"/>
              </w:rPr>
            </w:pPr>
            <w:r>
              <w:rPr>
                <w:rFonts w:hint="eastAsia"/>
                <w:color w:val="auto"/>
                <w:sz w:val="24"/>
              </w:rPr>
              <w:t>根据</w:t>
            </w:r>
            <w:r>
              <w:rPr>
                <w:color w:val="auto"/>
                <w:sz w:val="24"/>
              </w:rPr>
              <w:t>自治区人民政府</w:t>
            </w:r>
            <w:r>
              <w:rPr>
                <w:rFonts w:hint="eastAsia"/>
                <w:color w:val="auto"/>
                <w:sz w:val="24"/>
              </w:rPr>
              <w:t>《关于发布宁夏回族自治区生态保护红线的通知》（宁政发〔2018〕23号），宁夏域内划定的</w:t>
            </w:r>
            <w:r>
              <w:rPr>
                <w:color w:val="auto"/>
                <w:sz w:val="24"/>
              </w:rPr>
              <w:t>红线总面积12863.77km</w:t>
            </w:r>
            <w:r>
              <w:rPr>
                <w:color w:val="auto"/>
                <w:sz w:val="24"/>
                <w:vertAlign w:val="superscript"/>
              </w:rPr>
              <w:t>2</w:t>
            </w:r>
            <w:r>
              <w:rPr>
                <w:color w:val="auto"/>
                <w:sz w:val="24"/>
              </w:rPr>
              <w:t>，占全区国土总面积的24.76%。在空间上呈现出“三屏一带五区”的分布格局：“三屏”是指贺兰山生态屏障、六盘山生态屏障、罗山生态屏障；“一带”是指黄河岸线生态廊道；“五区”为东部毛乌素沙地防风固沙区、西部腾格里沙漠边缘防风固沙区、中部干旱带水土流失区、东南黄土高原丘陵水土保持区、西南黄土高原丘陵水土保持区。本项目不在生态保护红线范围内</w:t>
            </w:r>
            <w:r>
              <w:rPr>
                <w:rFonts w:hint="eastAsia"/>
                <w:color w:val="auto"/>
                <w:sz w:val="24"/>
              </w:rPr>
              <w:t>，具体见附图2。</w:t>
            </w:r>
          </w:p>
          <w:p>
            <w:pPr>
              <w:adjustRightInd w:val="0"/>
              <w:snapToGrid w:val="0"/>
              <w:spacing w:line="360" w:lineRule="auto"/>
              <w:ind w:left="40" w:right="60" w:firstLine="500"/>
              <w:rPr>
                <w:color w:val="auto"/>
                <w:sz w:val="24"/>
                <w:lang w:val="zh-TW"/>
              </w:rPr>
            </w:pPr>
            <w:r>
              <w:rPr>
                <w:rFonts w:hint="eastAsia" w:ascii="宋体" w:hAnsi="宋体" w:cs="宋体"/>
                <w:color w:val="auto"/>
                <w:sz w:val="24"/>
                <w:lang w:val="zh-TW"/>
              </w:rPr>
              <w:t>②</w:t>
            </w:r>
            <w:r>
              <w:rPr>
                <w:color w:val="auto"/>
                <w:sz w:val="24"/>
                <w:lang w:val="zh-TW"/>
              </w:rPr>
              <w:t>资源利用上线的符合性分析</w:t>
            </w:r>
          </w:p>
          <w:p>
            <w:pPr>
              <w:adjustRightInd w:val="0"/>
              <w:snapToGrid w:val="0"/>
              <w:spacing w:line="360" w:lineRule="auto"/>
              <w:ind w:firstLine="480"/>
              <w:rPr>
                <w:color w:val="auto"/>
                <w:sz w:val="24"/>
                <w:lang w:val="zh-CN"/>
              </w:rPr>
            </w:pPr>
            <w:r>
              <w:rPr>
                <w:color w:val="auto"/>
                <w:sz w:val="24"/>
              </w:rPr>
              <w:t>本项目</w:t>
            </w:r>
            <w:r>
              <w:rPr>
                <w:rFonts w:hint="eastAsia"/>
                <w:color w:val="auto"/>
                <w:sz w:val="24"/>
              </w:rPr>
              <w:t>主要资源消耗为少量水资源，</w:t>
            </w:r>
            <w:r>
              <w:rPr>
                <w:color w:val="auto"/>
                <w:sz w:val="24"/>
              </w:rPr>
              <w:t>不涉及基本农田，土地资源消耗符合要求。因此，项目符合资源利用上线要求。</w:t>
            </w:r>
          </w:p>
          <w:p>
            <w:pPr>
              <w:adjustRightInd w:val="0"/>
              <w:snapToGrid w:val="0"/>
              <w:spacing w:line="360" w:lineRule="auto"/>
              <w:ind w:left="40" w:right="60" w:firstLine="500"/>
              <w:rPr>
                <w:color w:val="auto"/>
                <w:sz w:val="24"/>
                <w:lang w:val="zh-TW"/>
              </w:rPr>
            </w:pPr>
            <w:r>
              <w:rPr>
                <w:rFonts w:hint="eastAsia" w:ascii="宋体" w:hAnsi="宋体" w:cs="宋体"/>
                <w:color w:val="auto"/>
                <w:sz w:val="24"/>
                <w:lang w:val="zh-TW"/>
              </w:rPr>
              <w:t>③</w:t>
            </w:r>
            <w:r>
              <w:rPr>
                <w:color w:val="auto"/>
                <w:sz w:val="24"/>
                <w:lang w:val="zh-TW"/>
              </w:rPr>
              <w:t>环境质量底线的符合性分析</w:t>
            </w:r>
          </w:p>
          <w:p>
            <w:pPr>
              <w:adjustRightInd w:val="0"/>
              <w:snapToGrid w:val="0"/>
              <w:spacing w:line="360" w:lineRule="auto"/>
              <w:ind w:firstLine="480"/>
              <w:rPr>
                <w:color w:val="auto"/>
                <w:sz w:val="24"/>
              </w:rPr>
            </w:pPr>
            <w:r>
              <w:rPr>
                <w:color w:val="auto"/>
                <w:sz w:val="24"/>
              </w:rPr>
              <w:t>本项目</w:t>
            </w:r>
            <w:r>
              <w:rPr>
                <w:rFonts w:hint="eastAsia"/>
                <w:color w:val="auto"/>
                <w:sz w:val="24"/>
              </w:rPr>
              <w:t>建设、运营过程中对区域环境影响小，无废气、废水、固体废物外排，不会引起区域环境质量的恶化</w:t>
            </w:r>
            <w:r>
              <w:rPr>
                <w:color w:val="auto"/>
                <w:sz w:val="24"/>
              </w:rPr>
              <w:t>。</w:t>
            </w:r>
          </w:p>
          <w:p>
            <w:pPr>
              <w:adjustRightInd w:val="0"/>
              <w:snapToGrid w:val="0"/>
              <w:spacing w:line="360" w:lineRule="auto"/>
              <w:ind w:left="40" w:right="60" w:firstLine="500"/>
              <w:rPr>
                <w:color w:val="auto"/>
                <w:sz w:val="24"/>
                <w:lang w:val="zh-TW"/>
              </w:rPr>
            </w:pPr>
            <w:r>
              <w:rPr>
                <w:rFonts w:hint="eastAsia" w:ascii="宋体" w:hAnsi="宋体" w:cs="宋体"/>
                <w:color w:val="auto"/>
                <w:sz w:val="24"/>
                <w:lang w:val="zh-TW"/>
              </w:rPr>
              <w:t>④</w:t>
            </w:r>
            <w:r>
              <w:rPr>
                <w:color w:val="auto"/>
                <w:sz w:val="24"/>
                <w:lang w:val="zh-TW"/>
              </w:rPr>
              <w:t>负面清单的符合性分析</w:t>
            </w:r>
          </w:p>
          <w:p>
            <w:pPr>
              <w:adjustRightInd w:val="0"/>
              <w:snapToGrid w:val="0"/>
              <w:spacing w:line="360" w:lineRule="auto"/>
              <w:ind w:firstLine="480"/>
              <w:rPr>
                <w:color w:val="auto"/>
                <w:sz w:val="24"/>
              </w:rPr>
            </w:pPr>
            <w:r>
              <w:rPr>
                <w:color w:val="auto"/>
                <w:sz w:val="24"/>
              </w:rPr>
              <w:t>本项目</w:t>
            </w:r>
            <w:r>
              <w:rPr>
                <w:rFonts w:hint="eastAsia"/>
                <w:color w:val="auto"/>
                <w:sz w:val="24"/>
              </w:rPr>
              <w:t>属于防洪治理工程</w:t>
            </w:r>
            <w:r>
              <w:rPr>
                <w:color w:val="auto"/>
                <w:sz w:val="24"/>
              </w:rPr>
              <w:t>，对照《宁夏回族自治区国家重点生态功能区产业准入负面清单（试行版）》</w:t>
            </w:r>
            <w:r>
              <w:rPr>
                <w:rFonts w:hint="eastAsia"/>
                <w:color w:val="auto"/>
                <w:sz w:val="24"/>
              </w:rPr>
              <w:t>分析</w:t>
            </w:r>
            <w:r>
              <w:rPr>
                <w:color w:val="auto"/>
                <w:sz w:val="24"/>
              </w:rPr>
              <w:t>，不属于禁止</w:t>
            </w:r>
            <w:r>
              <w:rPr>
                <w:rFonts w:hint="eastAsia"/>
                <w:color w:val="auto"/>
                <w:sz w:val="24"/>
              </w:rPr>
              <w:t>类</w:t>
            </w:r>
            <w:r>
              <w:rPr>
                <w:color w:val="auto"/>
                <w:sz w:val="24"/>
              </w:rPr>
              <w:t>项目。</w:t>
            </w:r>
          </w:p>
          <w:p>
            <w:pPr>
              <w:adjustRightInd w:val="0"/>
              <w:snapToGrid w:val="0"/>
              <w:spacing w:line="360" w:lineRule="auto"/>
              <w:ind w:left="40" w:right="60" w:firstLine="500"/>
              <w:rPr>
                <w:color w:val="auto"/>
                <w:sz w:val="24"/>
                <w:lang w:val="zh-TW"/>
              </w:rPr>
            </w:pPr>
            <w:r>
              <w:rPr>
                <w:color w:val="auto"/>
                <w:sz w:val="24"/>
                <w:lang w:val="zh-TW"/>
              </w:rPr>
              <w:t>本项目属于《产业结构调整指导目录（2019年本）》中</w:t>
            </w:r>
            <w:r>
              <w:rPr>
                <w:rFonts w:hint="eastAsia"/>
                <w:color w:val="auto"/>
                <w:sz w:val="24"/>
                <w:lang w:val="zh-TW"/>
              </w:rPr>
              <w:t>“允许</w:t>
            </w:r>
            <w:r>
              <w:rPr>
                <w:color w:val="auto"/>
                <w:sz w:val="24"/>
                <w:lang w:val="zh-TW"/>
              </w:rPr>
              <w:t>类</w:t>
            </w:r>
            <w:r>
              <w:rPr>
                <w:rFonts w:hint="eastAsia"/>
                <w:color w:val="auto"/>
                <w:sz w:val="24"/>
                <w:lang w:val="zh-TW"/>
              </w:rPr>
              <w:t>”</w:t>
            </w:r>
            <w:r>
              <w:rPr>
                <w:color w:val="auto"/>
                <w:sz w:val="24"/>
                <w:lang w:val="zh-TW"/>
              </w:rPr>
              <w:t>项目，在采取了完善的污染治理措施后，可有效减少污染物排放量，对区域环境影响在可接受水平，项目符合环境准入负面清单要求。</w:t>
            </w:r>
          </w:p>
          <w:p>
            <w:pPr>
              <w:adjustRightInd w:val="0"/>
              <w:snapToGrid w:val="0"/>
              <w:spacing w:line="360" w:lineRule="auto"/>
              <w:ind w:left="40" w:right="60" w:firstLine="500"/>
              <w:rPr>
                <w:color w:val="auto"/>
                <w:sz w:val="24"/>
                <w:lang w:val="zh-TW"/>
              </w:rPr>
            </w:pPr>
            <w:r>
              <w:rPr>
                <w:rFonts w:hint="eastAsia"/>
                <w:color w:val="auto"/>
                <w:sz w:val="24"/>
                <w:lang w:val="zh-TW" w:eastAsia="zh-TW"/>
              </w:rPr>
              <w:t>本项目与《固原市“三线一单”生态环境分区管控实施意见》</w:t>
            </w:r>
            <w:r>
              <w:rPr>
                <w:rFonts w:hint="eastAsia"/>
                <w:color w:val="auto"/>
                <w:sz w:val="24"/>
                <w:lang w:eastAsia="zh-TW"/>
              </w:rPr>
              <w:t>（固政规发〔2021〕6号）</w:t>
            </w:r>
            <w:r>
              <w:rPr>
                <w:rFonts w:hint="eastAsia"/>
                <w:color w:val="auto"/>
                <w:sz w:val="24"/>
                <w:lang w:val="zh-TW" w:eastAsia="zh-TW"/>
              </w:rPr>
              <w:t>分析，</w:t>
            </w:r>
            <w:r>
              <w:rPr>
                <w:color w:val="auto"/>
                <w:sz w:val="24"/>
                <w:lang w:val="zh-TW"/>
              </w:rPr>
              <w:t>具体见表1-</w:t>
            </w:r>
            <w:r>
              <w:rPr>
                <w:rFonts w:hint="eastAsia"/>
                <w:color w:val="auto"/>
                <w:sz w:val="24"/>
              </w:rPr>
              <w:t>4</w:t>
            </w:r>
            <w:r>
              <w:rPr>
                <w:color w:val="auto"/>
                <w:sz w:val="24"/>
                <w:lang w:val="zh-TW"/>
              </w:rPr>
              <w:t>、图</w:t>
            </w:r>
            <w:r>
              <w:rPr>
                <w:rFonts w:hint="eastAsia"/>
                <w:color w:val="auto"/>
                <w:sz w:val="24"/>
              </w:rPr>
              <w:t>1-1</w:t>
            </w:r>
            <w:r>
              <w:rPr>
                <w:color w:val="auto"/>
                <w:sz w:val="24"/>
                <w:lang w:val="zh-TW"/>
              </w:rPr>
              <w:t>。</w:t>
            </w:r>
          </w:p>
          <w:p>
            <w:pPr>
              <w:adjustRightInd w:val="0"/>
              <w:snapToGrid w:val="0"/>
              <w:spacing w:line="360" w:lineRule="auto"/>
              <w:ind w:right="60"/>
              <w:jc w:val="center"/>
              <w:rPr>
                <w:rFonts w:eastAsia="PMingLiU"/>
                <w:color w:val="auto"/>
                <w:kern w:val="0"/>
                <w:sz w:val="24"/>
                <w:lang w:eastAsia="zh-TW"/>
              </w:rPr>
            </w:pPr>
            <w:r>
              <w:rPr>
                <w:rFonts w:eastAsia="PMingLiU"/>
                <w:color w:val="auto"/>
                <w:kern w:val="0"/>
                <w:sz w:val="24"/>
                <w:lang w:eastAsia="zh-TW"/>
              </w:rPr>
              <w:drawing>
                <wp:inline distT="0" distB="0" distL="114300" distR="114300">
                  <wp:extent cx="4294505" cy="3900805"/>
                  <wp:effectExtent l="0" t="0" r="10795" b="4445"/>
                  <wp:docPr id="7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3"/>
                          <pic:cNvPicPr>
                            <a:picLocks noChangeAspect="1"/>
                          </pic:cNvPicPr>
                        </pic:nvPicPr>
                        <pic:blipFill>
                          <a:blip r:embed="rId7"/>
                          <a:srcRect l="12289" t="1984" r="12808" b="1823"/>
                          <a:stretch>
                            <a:fillRect/>
                          </a:stretch>
                        </pic:blipFill>
                        <pic:spPr>
                          <a:xfrm>
                            <a:off x="0" y="0"/>
                            <a:ext cx="4294505" cy="3900805"/>
                          </a:xfrm>
                          <a:prstGeom prst="rect">
                            <a:avLst/>
                          </a:prstGeom>
                          <a:noFill/>
                          <a:ln>
                            <a:noFill/>
                          </a:ln>
                        </pic:spPr>
                      </pic:pic>
                    </a:graphicData>
                  </a:graphic>
                </wp:inline>
              </w:drawing>
            </w:r>
          </w:p>
          <w:p>
            <w:pPr>
              <w:adjustRightInd w:val="0"/>
              <w:snapToGrid w:val="0"/>
              <w:spacing w:line="360" w:lineRule="auto"/>
              <w:ind w:firstLine="482" w:firstLineChars="200"/>
              <w:jc w:val="center"/>
              <w:rPr>
                <w:color w:val="auto"/>
                <w:kern w:val="0"/>
                <w:sz w:val="24"/>
              </w:rPr>
            </w:pPr>
            <w:r>
              <w:rPr>
                <w:rFonts w:hint="eastAsia" w:ascii="宋体" w:hAnsi="宋体"/>
                <w:b/>
                <w:bCs/>
                <w:color w:val="auto"/>
                <w:kern w:val="0"/>
                <w:sz w:val="24"/>
                <w:lang w:eastAsia="zh-TW"/>
              </w:rPr>
              <w:t>图</w:t>
            </w:r>
            <w:r>
              <w:rPr>
                <w:rFonts w:hint="eastAsia" w:ascii="宋体" w:hAnsi="宋体"/>
                <w:b/>
                <w:bCs/>
                <w:color w:val="auto"/>
                <w:kern w:val="0"/>
                <w:sz w:val="24"/>
              </w:rPr>
              <w:t>1-1</w:t>
            </w:r>
            <w:r>
              <w:rPr>
                <w:rFonts w:ascii="宋体" w:hAnsi="宋体"/>
                <w:b/>
                <w:bCs/>
                <w:color w:val="auto"/>
                <w:kern w:val="0"/>
                <w:sz w:val="24"/>
              </w:rPr>
              <w:t xml:space="preserve">       </w:t>
            </w:r>
            <w:r>
              <w:rPr>
                <w:rFonts w:hint="eastAsia" w:ascii="宋体" w:hAnsi="宋体"/>
                <w:b/>
                <w:bCs/>
                <w:color w:val="auto"/>
                <w:kern w:val="0"/>
                <w:sz w:val="24"/>
                <w:lang w:eastAsia="zh-TW"/>
              </w:rPr>
              <w:t>本项目与</w:t>
            </w:r>
            <w:r>
              <w:rPr>
                <w:rFonts w:hint="eastAsia" w:ascii="宋体" w:hAnsi="宋体"/>
                <w:b/>
                <w:bCs/>
                <w:color w:val="auto"/>
                <w:kern w:val="0"/>
                <w:sz w:val="24"/>
              </w:rPr>
              <w:t>“环境管控单元”位置关系图</w:t>
            </w:r>
          </w:p>
          <w:p>
            <w:pPr>
              <w:adjustRightInd w:val="0"/>
              <w:snapToGrid w:val="0"/>
              <w:spacing w:line="360" w:lineRule="auto"/>
              <w:ind w:firstLine="480" w:firstLineChars="200"/>
              <w:jc w:val="left"/>
              <w:rPr>
                <w:color w:val="auto"/>
                <w:kern w:val="0"/>
                <w:sz w:val="24"/>
              </w:rPr>
            </w:pPr>
            <w:r>
              <w:rPr>
                <w:color w:val="auto"/>
                <w:kern w:val="0"/>
                <w:sz w:val="24"/>
              </w:rPr>
              <w:t>本项目属于国民经济行业类别中</w:t>
            </w:r>
            <w:r>
              <w:rPr>
                <w:rFonts w:hint="eastAsia"/>
                <w:color w:val="auto"/>
                <w:kern w:val="0"/>
                <w:sz w:val="24"/>
              </w:rPr>
              <w:t>“</w:t>
            </w:r>
            <w:r>
              <w:rPr>
                <w:color w:val="auto"/>
                <w:kern w:val="0"/>
                <w:sz w:val="24"/>
              </w:rPr>
              <w:t>防洪除涝设施管理</w:t>
            </w:r>
            <w:r>
              <w:rPr>
                <w:rFonts w:hint="eastAsia"/>
                <w:color w:val="auto"/>
                <w:kern w:val="0"/>
                <w:sz w:val="24"/>
              </w:rPr>
              <w:t>”</w:t>
            </w:r>
            <w:r>
              <w:rPr>
                <w:color w:val="auto"/>
                <w:kern w:val="0"/>
                <w:sz w:val="24"/>
              </w:rPr>
              <w:t>，中华人民共和国国家发展和改革委员会第29号令《产业结构调整指导目录（2019年本）》</w:t>
            </w:r>
            <w:r>
              <w:rPr>
                <w:rFonts w:hint="eastAsia"/>
                <w:color w:val="auto"/>
                <w:kern w:val="0"/>
                <w:sz w:val="24"/>
              </w:rPr>
              <w:t>中允许类项目</w:t>
            </w:r>
            <w:r>
              <w:rPr>
                <w:color w:val="auto"/>
                <w:kern w:val="0"/>
                <w:sz w:val="24"/>
              </w:rPr>
              <w:t>，</w:t>
            </w:r>
            <w:r>
              <w:rPr>
                <w:rFonts w:hint="eastAsia"/>
                <w:color w:val="auto"/>
                <w:kern w:val="0"/>
                <w:sz w:val="24"/>
              </w:rPr>
              <w:t>不属于</w:t>
            </w:r>
            <w:r>
              <w:rPr>
                <w:color w:val="auto"/>
                <w:kern w:val="0"/>
                <w:sz w:val="24"/>
              </w:rPr>
              <w:t>《宁夏回族自治区国家重点生态功能区产业准入负面清单（试行版）》</w:t>
            </w:r>
            <w:r>
              <w:rPr>
                <w:rFonts w:hint="eastAsia"/>
                <w:color w:val="auto"/>
                <w:kern w:val="0"/>
                <w:sz w:val="24"/>
              </w:rPr>
              <w:t>禁止类项目，符合</w:t>
            </w:r>
            <w:r>
              <w:rPr>
                <w:rFonts w:hint="eastAsia"/>
                <w:color w:val="auto"/>
                <w:kern w:val="0"/>
                <w:sz w:val="24"/>
                <w:lang w:val="zh-TW"/>
              </w:rPr>
              <w:t>《固原市“三线一单”生态环境分区管控实施意见》</w:t>
            </w:r>
            <w:r>
              <w:rPr>
                <w:rFonts w:hint="eastAsia"/>
                <w:color w:val="auto"/>
                <w:kern w:val="0"/>
                <w:sz w:val="24"/>
              </w:rPr>
              <w:t>（固政规发〔2021〕6号）要求</w:t>
            </w:r>
            <w:r>
              <w:rPr>
                <w:color w:val="auto"/>
                <w:kern w:val="0"/>
                <w:sz w:val="24"/>
              </w:rPr>
              <w:t>。因此，本项目的建设符合国家现行的产业政策和加强环境保护的决定要求。</w:t>
            </w:r>
          </w:p>
          <w:p>
            <w:pPr>
              <w:adjustRightInd w:val="0"/>
              <w:snapToGrid w:val="0"/>
              <w:spacing w:line="360" w:lineRule="auto"/>
              <w:ind w:firstLine="420" w:firstLineChars="200"/>
              <w:jc w:val="left"/>
              <w:outlineLvl w:val="0"/>
              <w:rPr>
                <w:color w:val="auto"/>
              </w:rPr>
            </w:pPr>
          </w:p>
          <w:p>
            <w:pPr>
              <w:pStyle w:val="2"/>
              <w:ind w:firstLine="210"/>
              <w:rPr>
                <w:color w:val="auto"/>
              </w:rPr>
            </w:pPr>
          </w:p>
          <w:p>
            <w:pPr>
              <w:rPr>
                <w:color w:val="auto"/>
              </w:rPr>
            </w:pPr>
          </w:p>
        </w:tc>
      </w:tr>
    </w:tbl>
    <w:p>
      <w:pPr>
        <w:spacing w:line="360" w:lineRule="auto"/>
        <w:outlineLvl w:val="0"/>
        <w:rPr>
          <w:rFonts w:eastAsia="黑体"/>
          <w:color w:val="auto"/>
          <w:sz w:val="30"/>
        </w:rPr>
        <w:sectPr>
          <w:footerReference r:id="rId5" w:type="default"/>
          <w:pgSz w:w="11906" w:h="16838"/>
          <w:pgMar w:top="1701" w:right="1531" w:bottom="1701" w:left="1531" w:header="851" w:footer="1077" w:gutter="0"/>
          <w:pgNumType w:start="1"/>
          <w:cols w:space="720" w:num="1"/>
          <w:docGrid w:linePitch="312" w:charSpace="0"/>
        </w:sectPr>
      </w:pPr>
    </w:p>
    <w:p>
      <w:pPr>
        <w:adjustRightInd w:val="0"/>
        <w:snapToGrid w:val="0"/>
        <w:ind w:firstLine="482" w:firstLineChars="200"/>
        <w:jc w:val="left"/>
        <w:rPr>
          <w:rFonts w:ascii="宋体" w:hAnsi="宋体"/>
          <w:b/>
          <w:bCs/>
          <w:color w:val="auto"/>
          <w:sz w:val="24"/>
        </w:rPr>
      </w:pPr>
      <w:r>
        <w:rPr>
          <w:rFonts w:hint="eastAsia" w:ascii="宋体" w:hAnsi="宋体"/>
          <w:b/>
          <w:bCs/>
          <w:color w:val="auto"/>
          <w:sz w:val="24"/>
        </w:rPr>
        <w:t>表1-4</w:t>
      </w:r>
      <w:r>
        <w:rPr>
          <w:rFonts w:ascii="宋体" w:hAnsi="宋体"/>
          <w:b/>
          <w:bCs/>
          <w:color w:val="auto"/>
          <w:sz w:val="24"/>
        </w:rPr>
        <w:t xml:space="preserve">               </w:t>
      </w:r>
      <w:r>
        <w:rPr>
          <w:rFonts w:hint="eastAsia" w:ascii="宋体" w:hAnsi="宋体"/>
          <w:b/>
          <w:bCs/>
          <w:color w:val="auto"/>
          <w:sz w:val="24"/>
        </w:rPr>
        <w:t>本项目与</w:t>
      </w:r>
      <w:r>
        <w:rPr>
          <w:rFonts w:ascii="宋体" w:hAnsi="宋体"/>
          <w:b/>
          <w:bCs/>
          <w:color w:val="auto"/>
          <w:sz w:val="24"/>
          <w:lang w:val="zh-TW"/>
        </w:rPr>
        <w:t>《</w:t>
      </w:r>
      <w:r>
        <w:rPr>
          <w:rFonts w:hint="eastAsia" w:ascii="宋体" w:hAnsi="宋体"/>
          <w:b/>
          <w:bCs/>
          <w:color w:val="auto"/>
          <w:sz w:val="24"/>
          <w:lang w:val="zh-TW"/>
        </w:rPr>
        <w:t>固原市“三线一单”生态环境分区管控实施意见</w:t>
      </w:r>
      <w:r>
        <w:rPr>
          <w:rFonts w:ascii="宋体" w:hAnsi="宋体"/>
          <w:b/>
          <w:bCs/>
          <w:color w:val="auto"/>
          <w:sz w:val="24"/>
          <w:lang w:val="zh-TW"/>
        </w:rPr>
        <w:t>》</w:t>
      </w:r>
      <w:r>
        <w:rPr>
          <w:rFonts w:hint="eastAsia" w:ascii="宋体" w:hAnsi="宋体"/>
          <w:b/>
          <w:bCs/>
          <w:color w:val="auto"/>
          <w:sz w:val="24"/>
          <w:lang w:val="zh-TW"/>
        </w:rPr>
        <w:t>符合性分析表</w:t>
      </w:r>
    </w:p>
    <w:tbl>
      <w:tblPr>
        <w:tblStyle w:val="19"/>
        <w:tblW w:w="142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1"/>
        <w:gridCol w:w="1317"/>
        <w:gridCol w:w="1493"/>
        <w:gridCol w:w="1216"/>
        <w:gridCol w:w="4173"/>
        <w:gridCol w:w="2977"/>
        <w:gridCol w:w="992"/>
        <w:gridCol w:w="1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0" w:type="auto"/>
            <w:vMerge w:val="restart"/>
            <w:vAlign w:val="center"/>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编号</w:t>
            </w:r>
          </w:p>
        </w:tc>
        <w:tc>
          <w:tcPr>
            <w:tcW w:w="1283" w:type="dxa"/>
            <w:vMerge w:val="restart"/>
            <w:vAlign w:val="center"/>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环境管控单元名称</w:t>
            </w:r>
          </w:p>
        </w:tc>
        <w:tc>
          <w:tcPr>
            <w:tcW w:w="1493" w:type="dxa"/>
            <w:vMerge w:val="restart"/>
            <w:vAlign w:val="center"/>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要素属性</w:t>
            </w:r>
          </w:p>
        </w:tc>
        <w:tc>
          <w:tcPr>
            <w:tcW w:w="1152" w:type="dxa"/>
            <w:vMerge w:val="restart"/>
            <w:vAlign w:val="center"/>
          </w:tcPr>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管控单元分类</w:t>
            </w:r>
          </w:p>
        </w:tc>
        <w:tc>
          <w:tcPr>
            <w:tcW w:w="9291" w:type="dxa"/>
            <w:gridSpan w:val="4"/>
            <w:vAlign w:val="center"/>
          </w:tcPr>
          <w:p>
            <w:pPr>
              <w:widowControl/>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管控要求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0" w:type="auto"/>
            <w:vMerge w:val="continue"/>
            <w:vAlign w:val="center"/>
          </w:tcPr>
          <w:p>
            <w:pPr>
              <w:widowControl/>
              <w:adjustRightInd w:val="0"/>
              <w:snapToGrid w:val="0"/>
              <w:jc w:val="center"/>
              <w:rPr>
                <w:rFonts w:ascii="宋体" w:hAnsi="宋体" w:cs="宋体"/>
                <w:b/>
                <w:bCs/>
                <w:color w:val="auto"/>
                <w:kern w:val="0"/>
                <w:szCs w:val="21"/>
              </w:rPr>
            </w:pPr>
          </w:p>
        </w:tc>
        <w:tc>
          <w:tcPr>
            <w:tcW w:w="1283" w:type="dxa"/>
            <w:vMerge w:val="continue"/>
            <w:vAlign w:val="center"/>
          </w:tcPr>
          <w:p>
            <w:pPr>
              <w:widowControl/>
              <w:adjustRightInd w:val="0"/>
              <w:snapToGrid w:val="0"/>
              <w:jc w:val="center"/>
              <w:rPr>
                <w:rFonts w:ascii="宋体" w:hAnsi="宋体" w:cs="宋体"/>
                <w:b/>
                <w:bCs/>
                <w:color w:val="auto"/>
                <w:kern w:val="0"/>
                <w:szCs w:val="21"/>
              </w:rPr>
            </w:pPr>
          </w:p>
        </w:tc>
        <w:tc>
          <w:tcPr>
            <w:tcW w:w="1493" w:type="dxa"/>
            <w:vMerge w:val="continue"/>
            <w:vAlign w:val="center"/>
          </w:tcPr>
          <w:p>
            <w:pPr>
              <w:widowControl/>
              <w:adjustRightInd w:val="0"/>
              <w:snapToGrid w:val="0"/>
              <w:jc w:val="center"/>
              <w:rPr>
                <w:rFonts w:ascii="宋体" w:hAnsi="宋体" w:cs="宋体"/>
                <w:b/>
                <w:bCs/>
                <w:color w:val="auto"/>
                <w:kern w:val="0"/>
                <w:szCs w:val="21"/>
              </w:rPr>
            </w:pPr>
          </w:p>
        </w:tc>
        <w:tc>
          <w:tcPr>
            <w:tcW w:w="1152" w:type="dxa"/>
            <w:vMerge w:val="continue"/>
            <w:vAlign w:val="center"/>
          </w:tcPr>
          <w:p>
            <w:pPr>
              <w:widowControl/>
              <w:adjustRightInd w:val="0"/>
              <w:snapToGrid w:val="0"/>
              <w:jc w:val="center"/>
              <w:rPr>
                <w:rFonts w:ascii="宋体" w:hAnsi="宋体" w:cs="宋体"/>
                <w:b/>
                <w:bCs/>
                <w:color w:val="auto"/>
                <w:kern w:val="0"/>
                <w:szCs w:val="21"/>
              </w:rPr>
            </w:pPr>
          </w:p>
        </w:tc>
        <w:tc>
          <w:tcPr>
            <w:tcW w:w="4188" w:type="dxa"/>
            <w:vAlign w:val="center"/>
          </w:tcPr>
          <w:p>
            <w:pPr>
              <w:widowControl/>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空间布局约束</w:t>
            </w:r>
          </w:p>
        </w:tc>
        <w:tc>
          <w:tcPr>
            <w:tcW w:w="2977" w:type="dxa"/>
            <w:vAlign w:val="center"/>
          </w:tcPr>
          <w:p>
            <w:pPr>
              <w:widowControl/>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污染物排放管控</w:t>
            </w:r>
          </w:p>
        </w:tc>
        <w:tc>
          <w:tcPr>
            <w:tcW w:w="992" w:type="dxa"/>
            <w:vAlign w:val="center"/>
          </w:tcPr>
          <w:p>
            <w:pPr>
              <w:widowControl/>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环境风险防控</w:t>
            </w:r>
          </w:p>
        </w:tc>
        <w:tc>
          <w:tcPr>
            <w:tcW w:w="1134" w:type="dxa"/>
            <w:vAlign w:val="center"/>
          </w:tcPr>
          <w:p>
            <w:pPr>
              <w:widowControl/>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资源开发效率要求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1" w:hRule="atLeast"/>
        </w:trPr>
        <w:tc>
          <w:tcPr>
            <w:tcW w:w="0" w:type="auto"/>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5201</w:t>
            </w:r>
          </w:p>
        </w:tc>
        <w:tc>
          <w:tcPr>
            <w:tcW w:w="1283"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彭阳县王洼产业园区重点管控单元</w:t>
            </w:r>
          </w:p>
        </w:tc>
        <w:tc>
          <w:tcPr>
            <w:tcW w:w="1493"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水环境工业园重点管控区</w:t>
            </w:r>
            <w:r>
              <w:rPr>
                <w:rFonts w:ascii="宋体" w:hAnsi="宋体"/>
                <w:color w:val="auto"/>
                <w:kern w:val="0"/>
                <w:szCs w:val="21"/>
              </w:rPr>
              <w:t>-</w:t>
            </w:r>
            <w:r>
              <w:rPr>
                <w:rFonts w:hint="eastAsia" w:ascii="宋体" w:hAnsi="宋体" w:cs="宋体"/>
                <w:color w:val="auto"/>
                <w:kern w:val="0"/>
                <w:szCs w:val="21"/>
              </w:rPr>
              <w:t>大气环境高排放重点管控区</w:t>
            </w:r>
            <w:r>
              <w:rPr>
                <w:rFonts w:ascii="宋体" w:hAnsi="宋体"/>
                <w:color w:val="auto"/>
                <w:kern w:val="0"/>
                <w:szCs w:val="21"/>
              </w:rPr>
              <w:t>-</w:t>
            </w:r>
            <w:r>
              <w:rPr>
                <w:rFonts w:hint="eastAsia" w:ascii="宋体" w:hAnsi="宋体" w:cs="宋体"/>
                <w:color w:val="auto"/>
                <w:kern w:val="0"/>
                <w:szCs w:val="21"/>
              </w:rPr>
              <w:t>高污染燃料禁燃区</w:t>
            </w:r>
          </w:p>
        </w:tc>
        <w:tc>
          <w:tcPr>
            <w:tcW w:w="1152"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重点管控单元</w:t>
            </w:r>
          </w:p>
        </w:tc>
        <w:tc>
          <w:tcPr>
            <w:tcW w:w="4188"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1、限制发展电力、医药、冶金、建材、化工、有色等行业的新建项目。</w:t>
            </w:r>
          </w:p>
        </w:tc>
        <w:tc>
          <w:tcPr>
            <w:tcW w:w="2977" w:type="dxa"/>
            <w:vAlign w:val="center"/>
          </w:tcPr>
          <w:p>
            <w:pPr>
              <w:widowControl/>
              <w:adjustRightInd w:val="0"/>
              <w:snapToGrid w:val="0"/>
              <w:jc w:val="left"/>
              <w:rPr>
                <w:rFonts w:ascii="宋体" w:hAnsi="宋体" w:cs="宋体"/>
                <w:color w:val="auto"/>
                <w:kern w:val="0"/>
                <w:szCs w:val="21"/>
              </w:rPr>
            </w:pPr>
            <w:r>
              <w:rPr>
                <w:rFonts w:hint="eastAsia" w:ascii="宋体" w:hAnsi="宋体" w:cs="宋体"/>
                <w:color w:val="auto"/>
                <w:kern w:val="0"/>
                <w:szCs w:val="21"/>
              </w:rPr>
              <w:t>1.现有产生大气污染物的工业企业应持续开展节能减排；</w:t>
            </w:r>
          </w:p>
          <w:p>
            <w:pPr>
              <w:widowControl/>
              <w:adjustRightInd w:val="0"/>
              <w:snapToGrid w:val="0"/>
              <w:jc w:val="left"/>
              <w:rPr>
                <w:rFonts w:ascii="宋体" w:hAnsi="宋体" w:cs="宋体"/>
                <w:color w:val="auto"/>
                <w:kern w:val="0"/>
                <w:szCs w:val="21"/>
              </w:rPr>
            </w:pPr>
            <w:r>
              <w:rPr>
                <w:rFonts w:hint="eastAsia" w:ascii="宋体" w:hAnsi="宋体" w:cs="宋体"/>
                <w:color w:val="auto"/>
                <w:kern w:val="0"/>
                <w:szCs w:val="21"/>
              </w:rPr>
              <w:t>2.新建项目实施主要大气污染物和</w:t>
            </w:r>
            <w:r>
              <w:rPr>
                <w:rFonts w:ascii="宋体" w:hAnsi="宋体"/>
                <w:color w:val="auto"/>
                <w:kern w:val="0"/>
                <w:szCs w:val="21"/>
              </w:rPr>
              <w:t>VOCS</w:t>
            </w:r>
            <w:r>
              <w:rPr>
                <w:rFonts w:hint="eastAsia" w:ascii="宋体" w:hAnsi="宋体" w:cs="宋体"/>
                <w:color w:val="auto"/>
                <w:kern w:val="0"/>
                <w:szCs w:val="21"/>
              </w:rPr>
              <w:t>排放等量替代；</w:t>
            </w:r>
          </w:p>
          <w:p>
            <w:pPr>
              <w:adjustRightInd w:val="0"/>
              <w:snapToGrid w:val="0"/>
              <w:jc w:val="left"/>
              <w:rPr>
                <w:rFonts w:ascii="宋体" w:hAnsi="宋体" w:cs="宋体"/>
                <w:color w:val="auto"/>
                <w:kern w:val="0"/>
                <w:szCs w:val="21"/>
              </w:rPr>
            </w:pPr>
            <w:r>
              <w:rPr>
                <w:rFonts w:hint="eastAsia" w:ascii="宋体" w:hAnsi="宋体" w:cs="宋体"/>
                <w:color w:val="auto"/>
                <w:kern w:val="0"/>
                <w:szCs w:val="21"/>
              </w:rPr>
              <w:t>3.宁夏王洼煤业有限公司应加强污染治理设施的运行管理，确保稳定达标排放。</w:t>
            </w:r>
          </w:p>
        </w:tc>
        <w:tc>
          <w:tcPr>
            <w:tcW w:w="992"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园区应建立严格的环境风险防控体系。</w:t>
            </w:r>
          </w:p>
        </w:tc>
        <w:tc>
          <w:tcPr>
            <w:tcW w:w="1134"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4" w:hRule="atLeast"/>
        </w:trPr>
        <w:tc>
          <w:tcPr>
            <w:tcW w:w="0" w:type="auto"/>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5307</w:t>
            </w:r>
          </w:p>
        </w:tc>
        <w:tc>
          <w:tcPr>
            <w:tcW w:w="1283"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彭阳县王洼镇</w:t>
            </w:r>
            <w:r>
              <w:rPr>
                <w:rFonts w:ascii="宋体" w:hAnsi="宋体"/>
                <w:color w:val="auto"/>
                <w:kern w:val="0"/>
                <w:szCs w:val="21"/>
              </w:rPr>
              <w:t>-</w:t>
            </w:r>
            <w:r>
              <w:rPr>
                <w:rFonts w:hint="eastAsia" w:ascii="宋体" w:hAnsi="宋体" w:cs="宋体"/>
                <w:color w:val="auto"/>
                <w:kern w:val="0"/>
                <w:szCs w:val="21"/>
              </w:rPr>
              <w:t>罗洼乡</w:t>
            </w:r>
            <w:r>
              <w:rPr>
                <w:rFonts w:ascii="宋体" w:hAnsi="宋体"/>
                <w:color w:val="auto"/>
                <w:kern w:val="0"/>
                <w:szCs w:val="21"/>
              </w:rPr>
              <w:t>-</w:t>
            </w:r>
            <w:r>
              <w:rPr>
                <w:rFonts w:hint="eastAsia" w:ascii="宋体" w:hAnsi="宋体" w:cs="宋体"/>
                <w:color w:val="auto"/>
                <w:kern w:val="0"/>
                <w:szCs w:val="21"/>
              </w:rPr>
              <w:t>交岔乡一般管控单元</w:t>
            </w:r>
          </w:p>
        </w:tc>
        <w:tc>
          <w:tcPr>
            <w:tcW w:w="1493"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一般管控区</w:t>
            </w:r>
          </w:p>
        </w:tc>
        <w:tc>
          <w:tcPr>
            <w:tcW w:w="1152"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一般管控单元</w:t>
            </w:r>
          </w:p>
        </w:tc>
        <w:tc>
          <w:tcPr>
            <w:tcW w:w="4188" w:type="dxa"/>
            <w:vAlign w:val="center"/>
          </w:tcPr>
          <w:p>
            <w:pPr>
              <w:widowControl/>
              <w:adjustRightInd w:val="0"/>
              <w:snapToGrid w:val="0"/>
              <w:jc w:val="left"/>
              <w:rPr>
                <w:rFonts w:ascii="宋体" w:hAnsi="宋体" w:cs="宋体"/>
                <w:color w:val="auto"/>
                <w:kern w:val="0"/>
                <w:szCs w:val="21"/>
              </w:rPr>
            </w:pPr>
            <w:r>
              <w:rPr>
                <w:rFonts w:hint="eastAsia" w:ascii="宋体" w:hAnsi="宋体" w:cs="宋体"/>
                <w:color w:val="auto"/>
                <w:kern w:val="0"/>
                <w:szCs w:val="21"/>
              </w:rPr>
              <w:t>1、禁止在水源涵养地、天然林地、草原等植被覆盖度在40%以上和治理程度达70%以上的小流域进行开发建设。</w:t>
            </w:r>
          </w:p>
          <w:p>
            <w:pPr>
              <w:widowControl/>
              <w:adjustRightInd w:val="0"/>
              <w:snapToGrid w:val="0"/>
              <w:jc w:val="left"/>
              <w:rPr>
                <w:rFonts w:ascii="宋体" w:hAnsi="宋体" w:cs="宋体"/>
                <w:color w:val="auto"/>
                <w:kern w:val="0"/>
                <w:szCs w:val="21"/>
              </w:rPr>
            </w:pPr>
            <w:r>
              <w:rPr>
                <w:rFonts w:hint="eastAsia" w:ascii="宋体" w:hAnsi="宋体" w:cs="宋体"/>
                <w:color w:val="auto"/>
                <w:kern w:val="0"/>
                <w:szCs w:val="21"/>
              </w:rPr>
              <w:t>2、严格限制占用林地、草地及清水河等河流沿线湿地进行开发建设活动。</w:t>
            </w:r>
          </w:p>
          <w:p>
            <w:pPr>
              <w:adjustRightInd w:val="0"/>
              <w:snapToGrid w:val="0"/>
              <w:jc w:val="left"/>
              <w:rPr>
                <w:rFonts w:ascii="宋体" w:hAnsi="宋体" w:cs="宋体"/>
                <w:color w:val="auto"/>
                <w:kern w:val="0"/>
                <w:szCs w:val="21"/>
              </w:rPr>
            </w:pPr>
            <w:r>
              <w:rPr>
                <w:rFonts w:hint="eastAsia" w:ascii="宋体" w:hAnsi="宋体" w:cs="宋体"/>
                <w:color w:val="auto"/>
                <w:kern w:val="0"/>
                <w:szCs w:val="21"/>
              </w:rPr>
              <w:t>3、在满足产业准入、总量控制、排放标准等国家和地方相关管理制度要求的前提下，集约发展。</w:t>
            </w:r>
          </w:p>
        </w:tc>
        <w:tc>
          <w:tcPr>
            <w:tcW w:w="2977"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w:t>
            </w:r>
          </w:p>
        </w:tc>
        <w:tc>
          <w:tcPr>
            <w:tcW w:w="992"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w:t>
            </w:r>
          </w:p>
        </w:tc>
        <w:tc>
          <w:tcPr>
            <w:tcW w:w="1134" w:type="dxa"/>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39" w:hRule="atLeast"/>
        </w:trPr>
        <w:tc>
          <w:tcPr>
            <w:tcW w:w="4992" w:type="dxa"/>
            <w:gridSpan w:val="4"/>
            <w:noWrap/>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本项目</w:t>
            </w:r>
          </w:p>
        </w:tc>
        <w:tc>
          <w:tcPr>
            <w:tcW w:w="4188" w:type="dxa"/>
            <w:vAlign w:val="center"/>
          </w:tcPr>
          <w:p>
            <w:pPr>
              <w:widowControl/>
              <w:adjustRightInd w:val="0"/>
              <w:snapToGrid w:val="0"/>
              <w:jc w:val="left"/>
              <w:rPr>
                <w:rFonts w:ascii="宋体" w:hAnsi="宋体" w:cs="宋体"/>
                <w:color w:val="auto"/>
                <w:kern w:val="0"/>
                <w:szCs w:val="21"/>
              </w:rPr>
            </w:pPr>
            <w:r>
              <w:rPr>
                <w:rFonts w:hint="eastAsia" w:ascii="宋体" w:hAnsi="宋体" w:cs="宋体"/>
                <w:color w:val="auto"/>
                <w:kern w:val="0"/>
                <w:szCs w:val="21"/>
              </w:rPr>
              <w:t>1、本项目属于防洪工程，不属于电力、医药、冶金、建材、化工、有色等限制发展情形；</w:t>
            </w:r>
          </w:p>
          <w:p>
            <w:pPr>
              <w:widowControl/>
              <w:adjustRightInd w:val="0"/>
              <w:snapToGrid w:val="0"/>
              <w:jc w:val="left"/>
              <w:rPr>
                <w:rFonts w:ascii="宋体" w:hAnsi="宋体" w:cs="宋体"/>
                <w:color w:val="auto"/>
                <w:kern w:val="0"/>
                <w:szCs w:val="21"/>
              </w:rPr>
            </w:pPr>
            <w:r>
              <w:rPr>
                <w:rFonts w:hint="eastAsia" w:ascii="宋体" w:hAnsi="宋体" w:cs="宋体"/>
                <w:color w:val="auto"/>
                <w:kern w:val="0"/>
                <w:szCs w:val="21"/>
              </w:rPr>
              <w:t>2、本项目在现有王洼二矿矸石场区域开展防洪工程建设，不涉及湿地等；</w:t>
            </w:r>
          </w:p>
          <w:p>
            <w:pPr>
              <w:adjustRightInd w:val="0"/>
              <w:snapToGrid w:val="0"/>
              <w:jc w:val="left"/>
              <w:rPr>
                <w:rFonts w:ascii="宋体" w:hAnsi="宋体" w:cs="宋体"/>
                <w:color w:val="auto"/>
                <w:kern w:val="0"/>
                <w:szCs w:val="21"/>
              </w:rPr>
            </w:pPr>
            <w:r>
              <w:rPr>
                <w:rFonts w:ascii="宋体" w:hAnsi="宋体" w:cs="宋体"/>
                <w:color w:val="auto"/>
                <w:kern w:val="0"/>
                <w:szCs w:val="21"/>
              </w:rPr>
              <w:t>3</w:t>
            </w:r>
            <w:r>
              <w:rPr>
                <w:rFonts w:hint="eastAsia" w:ascii="宋体" w:hAnsi="宋体" w:cs="宋体"/>
                <w:color w:val="auto"/>
                <w:kern w:val="0"/>
                <w:szCs w:val="21"/>
              </w:rPr>
              <w:t>、本项目建设符合国家、地方环境准入，采取相关环境保护措施后能够达标排放。</w:t>
            </w:r>
          </w:p>
        </w:tc>
        <w:tc>
          <w:tcPr>
            <w:tcW w:w="2977" w:type="dxa"/>
            <w:noWrap/>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本项目不涉及以上管理要求。</w:t>
            </w:r>
          </w:p>
        </w:tc>
        <w:tc>
          <w:tcPr>
            <w:tcW w:w="992" w:type="dxa"/>
            <w:noWrap/>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本项目不涉及以上管理要求。</w:t>
            </w:r>
          </w:p>
        </w:tc>
        <w:tc>
          <w:tcPr>
            <w:tcW w:w="1134" w:type="dxa"/>
            <w:noWrap/>
            <w:vAlign w:val="center"/>
          </w:tcPr>
          <w:p>
            <w:pPr>
              <w:widowControl/>
              <w:adjustRightInd w:val="0"/>
              <w:snapToGrid w:val="0"/>
              <w:jc w:val="center"/>
              <w:rPr>
                <w:rFonts w:ascii="宋体" w:hAnsi="宋体" w:cs="宋体"/>
                <w:color w:val="auto"/>
                <w:kern w:val="0"/>
                <w:szCs w:val="21"/>
              </w:rPr>
            </w:pPr>
            <w:r>
              <w:rPr>
                <w:rFonts w:hint="eastAsia" w:ascii="宋体" w:hAnsi="宋体" w:cs="宋体"/>
                <w:color w:val="auto"/>
                <w:kern w:val="0"/>
                <w:szCs w:val="21"/>
              </w:rPr>
              <w:t>/</w:t>
            </w:r>
          </w:p>
        </w:tc>
      </w:tr>
    </w:tbl>
    <w:p>
      <w:pPr>
        <w:pStyle w:val="9"/>
        <w:snapToGrid w:val="0"/>
        <w:spacing w:line="240" w:lineRule="auto"/>
        <w:jc w:val="both"/>
        <w:outlineLvl w:val="0"/>
        <w:rPr>
          <w:b/>
          <w:color w:val="auto"/>
          <w:sz w:val="30"/>
          <w:szCs w:val="30"/>
        </w:rPr>
        <w:sectPr>
          <w:pgSz w:w="16838" w:h="11906" w:orient="landscape"/>
          <w:pgMar w:top="1800" w:right="1440" w:bottom="1800" w:left="1440" w:header="851" w:footer="1077" w:gutter="0"/>
          <w:cols w:space="720" w:num="1"/>
          <w:docGrid w:linePitch="312" w:charSpace="0"/>
        </w:sectPr>
      </w:pPr>
    </w:p>
    <w:p>
      <w:pPr>
        <w:pStyle w:val="9"/>
        <w:snapToGrid w:val="0"/>
        <w:spacing w:line="240" w:lineRule="auto"/>
        <w:jc w:val="both"/>
        <w:outlineLvl w:val="0"/>
        <w:rPr>
          <w:b/>
          <w:color w:val="auto"/>
          <w:sz w:val="30"/>
          <w:szCs w:val="30"/>
        </w:rPr>
      </w:pPr>
      <w:r>
        <w:rPr>
          <w:b/>
          <w:color w:val="auto"/>
          <w:sz w:val="30"/>
          <w:szCs w:val="30"/>
        </w:rPr>
        <w:t>二、</w:t>
      </w:r>
      <w:r>
        <w:rPr>
          <w:rFonts w:hint="eastAsia"/>
          <w:b/>
          <w:color w:val="auto"/>
          <w:sz w:val="30"/>
          <w:szCs w:val="30"/>
        </w:rPr>
        <w:t>建设项目工程分析</w:t>
      </w:r>
    </w:p>
    <w:tbl>
      <w:tblPr>
        <w:tblStyle w:val="19"/>
        <w:tblW w:w="93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5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88" w:type="dxa"/>
            <w:vAlign w:val="center"/>
          </w:tcPr>
          <w:p>
            <w:pPr>
              <w:adjustRightInd w:val="0"/>
              <w:snapToGrid w:val="0"/>
              <w:jc w:val="center"/>
              <w:rPr>
                <w:b/>
                <w:bCs/>
                <w:color w:val="auto"/>
                <w:kern w:val="0"/>
                <w:sz w:val="24"/>
              </w:rPr>
            </w:pPr>
            <w:r>
              <w:rPr>
                <w:rFonts w:hint="eastAsia"/>
                <w:b/>
                <w:bCs/>
                <w:color w:val="auto"/>
                <w:kern w:val="0"/>
                <w:sz w:val="24"/>
              </w:rPr>
              <w:t>2</w:t>
            </w:r>
            <w:r>
              <w:rPr>
                <w:b/>
                <w:bCs/>
                <w:color w:val="auto"/>
                <w:kern w:val="0"/>
                <w:sz w:val="24"/>
              </w:rPr>
              <w:t>.1地理位置</w:t>
            </w:r>
          </w:p>
        </w:tc>
        <w:tc>
          <w:tcPr>
            <w:tcW w:w="8568" w:type="dxa"/>
            <w:vAlign w:val="center"/>
          </w:tcPr>
          <w:p>
            <w:pPr>
              <w:adjustRightInd w:val="0"/>
              <w:snapToGrid w:val="0"/>
              <w:spacing w:line="360" w:lineRule="auto"/>
              <w:ind w:firstLine="480" w:firstLineChars="200"/>
              <w:jc w:val="left"/>
              <w:rPr>
                <w:bCs/>
                <w:color w:val="auto"/>
                <w:kern w:val="0"/>
                <w:sz w:val="24"/>
                <w:lang w:bidi="ar"/>
              </w:rPr>
            </w:pPr>
            <w:r>
              <w:rPr>
                <w:rFonts w:hint="eastAsia"/>
                <w:bCs/>
                <w:color w:val="auto"/>
                <w:kern w:val="0"/>
                <w:sz w:val="24"/>
                <w:lang w:bidi="ar"/>
              </w:rPr>
              <w:fldChar w:fldCharType="begin"/>
            </w:r>
            <w:r>
              <w:rPr>
                <w:rFonts w:hint="eastAsia"/>
                <w:bCs/>
                <w:color w:val="auto"/>
                <w:kern w:val="0"/>
                <w:sz w:val="24"/>
                <w:lang w:bidi="ar"/>
              </w:rPr>
              <w:instrText xml:space="preserve"> = 1 \* GB2 \* MERGEFORMAT </w:instrText>
            </w:r>
            <w:r>
              <w:rPr>
                <w:rFonts w:hint="eastAsia"/>
                <w:bCs/>
                <w:color w:val="auto"/>
                <w:kern w:val="0"/>
                <w:sz w:val="24"/>
                <w:lang w:bidi="ar"/>
              </w:rPr>
              <w:fldChar w:fldCharType="separate"/>
            </w:r>
            <w:r>
              <w:rPr>
                <w:rFonts w:hint="eastAsia"/>
                <w:bCs/>
                <w:color w:val="auto"/>
                <w:kern w:val="0"/>
                <w:sz w:val="24"/>
                <w:lang w:bidi="ar"/>
              </w:rPr>
              <w:t>⑴</w:t>
            </w:r>
            <w:r>
              <w:rPr>
                <w:rFonts w:hint="eastAsia"/>
                <w:bCs/>
                <w:color w:val="auto"/>
                <w:kern w:val="0"/>
                <w:sz w:val="24"/>
                <w:lang w:bidi="ar"/>
              </w:rPr>
              <w:fldChar w:fldCharType="end"/>
            </w:r>
            <w:r>
              <w:rPr>
                <w:rFonts w:hint="eastAsia"/>
                <w:bCs/>
                <w:color w:val="auto"/>
                <w:kern w:val="0"/>
                <w:sz w:val="24"/>
                <w:lang w:bidi="ar"/>
              </w:rPr>
              <w:t>项目名称：彭阳县王洼二矿矸石场防洪工程</w:t>
            </w:r>
          </w:p>
          <w:p>
            <w:pPr>
              <w:adjustRightInd w:val="0"/>
              <w:snapToGrid w:val="0"/>
              <w:spacing w:line="360" w:lineRule="auto"/>
              <w:ind w:firstLine="480" w:firstLineChars="200"/>
              <w:jc w:val="left"/>
              <w:rPr>
                <w:bCs/>
                <w:color w:val="auto"/>
                <w:kern w:val="0"/>
                <w:sz w:val="24"/>
                <w:lang w:bidi="ar"/>
              </w:rPr>
            </w:pPr>
            <w:r>
              <w:rPr>
                <w:rFonts w:hint="eastAsia"/>
                <w:bCs/>
                <w:color w:val="auto"/>
                <w:kern w:val="0"/>
                <w:sz w:val="24"/>
                <w:lang w:bidi="ar"/>
              </w:rPr>
              <w:fldChar w:fldCharType="begin"/>
            </w:r>
            <w:r>
              <w:rPr>
                <w:rFonts w:hint="eastAsia"/>
                <w:bCs/>
                <w:color w:val="auto"/>
                <w:kern w:val="0"/>
                <w:sz w:val="24"/>
                <w:lang w:bidi="ar"/>
              </w:rPr>
              <w:instrText xml:space="preserve"> = 2 \* GB2 \* MERGEFORMAT </w:instrText>
            </w:r>
            <w:r>
              <w:rPr>
                <w:rFonts w:hint="eastAsia"/>
                <w:bCs/>
                <w:color w:val="auto"/>
                <w:kern w:val="0"/>
                <w:sz w:val="24"/>
                <w:lang w:bidi="ar"/>
              </w:rPr>
              <w:fldChar w:fldCharType="separate"/>
            </w:r>
            <w:r>
              <w:rPr>
                <w:rFonts w:hint="eastAsia"/>
                <w:bCs/>
                <w:color w:val="auto"/>
                <w:kern w:val="0"/>
                <w:sz w:val="24"/>
                <w:lang w:bidi="ar"/>
              </w:rPr>
              <w:t>⑵</w:t>
            </w:r>
            <w:r>
              <w:rPr>
                <w:rFonts w:hint="eastAsia"/>
                <w:bCs/>
                <w:color w:val="auto"/>
                <w:kern w:val="0"/>
                <w:sz w:val="24"/>
                <w:lang w:bidi="ar"/>
              </w:rPr>
              <w:fldChar w:fldCharType="end"/>
            </w:r>
            <w:r>
              <w:rPr>
                <w:rFonts w:hint="eastAsia"/>
                <w:bCs/>
                <w:color w:val="auto"/>
                <w:kern w:val="0"/>
                <w:sz w:val="24"/>
                <w:lang w:bidi="ar"/>
              </w:rPr>
              <w:t>建设性质：新建</w:t>
            </w:r>
          </w:p>
          <w:p>
            <w:pPr>
              <w:adjustRightInd w:val="0"/>
              <w:snapToGrid w:val="0"/>
              <w:spacing w:line="360" w:lineRule="auto"/>
              <w:ind w:firstLine="480" w:firstLineChars="200"/>
              <w:jc w:val="left"/>
              <w:rPr>
                <w:bCs/>
                <w:color w:val="auto"/>
                <w:kern w:val="0"/>
                <w:sz w:val="24"/>
                <w:lang w:bidi="ar"/>
              </w:rPr>
            </w:pPr>
            <w:r>
              <w:rPr>
                <w:rFonts w:hint="eastAsia"/>
                <w:bCs/>
                <w:color w:val="auto"/>
                <w:kern w:val="0"/>
                <w:sz w:val="24"/>
                <w:lang w:bidi="ar"/>
              </w:rPr>
              <w:fldChar w:fldCharType="begin"/>
            </w:r>
            <w:r>
              <w:rPr>
                <w:rFonts w:hint="eastAsia"/>
                <w:bCs/>
                <w:color w:val="auto"/>
                <w:kern w:val="0"/>
                <w:sz w:val="24"/>
                <w:lang w:bidi="ar"/>
              </w:rPr>
              <w:instrText xml:space="preserve"> = 3 \* GB2 \* MERGEFORMAT </w:instrText>
            </w:r>
            <w:r>
              <w:rPr>
                <w:rFonts w:hint="eastAsia"/>
                <w:bCs/>
                <w:color w:val="auto"/>
                <w:kern w:val="0"/>
                <w:sz w:val="24"/>
                <w:lang w:bidi="ar"/>
              </w:rPr>
              <w:fldChar w:fldCharType="separate"/>
            </w:r>
            <w:r>
              <w:rPr>
                <w:rFonts w:hint="eastAsia"/>
                <w:bCs/>
                <w:color w:val="auto"/>
                <w:kern w:val="0"/>
                <w:sz w:val="24"/>
                <w:lang w:bidi="ar"/>
              </w:rPr>
              <w:t>⑶</w:t>
            </w:r>
            <w:r>
              <w:rPr>
                <w:rFonts w:hint="eastAsia"/>
                <w:bCs/>
                <w:color w:val="auto"/>
                <w:kern w:val="0"/>
                <w:sz w:val="24"/>
                <w:lang w:bidi="ar"/>
              </w:rPr>
              <w:fldChar w:fldCharType="end"/>
            </w:r>
            <w:r>
              <w:rPr>
                <w:rFonts w:hint="eastAsia"/>
                <w:bCs/>
                <w:color w:val="auto"/>
                <w:kern w:val="0"/>
                <w:sz w:val="24"/>
                <w:lang w:bidi="ar"/>
              </w:rPr>
              <w:t>建设单位：宁夏王洼煤业有限公司</w:t>
            </w:r>
          </w:p>
          <w:p>
            <w:pPr>
              <w:spacing w:line="360" w:lineRule="auto"/>
              <w:ind w:firstLine="480" w:firstLineChars="200"/>
              <w:rPr>
                <w:rFonts w:eastAsia="Times New Roman"/>
                <w:color w:val="auto"/>
                <w:sz w:val="24"/>
              </w:rPr>
            </w:pPr>
            <w:r>
              <w:rPr>
                <w:rFonts w:hint="eastAsia"/>
                <w:bCs/>
                <w:color w:val="auto"/>
                <w:kern w:val="0"/>
                <w:sz w:val="24"/>
                <w:lang w:bidi="ar"/>
              </w:rPr>
              <w:fldChar w:fldCharType="begin"/>
            </w:r>
            <w:r>
              <w:rPr>
                <w:rFonts w:hint="eastAsia"/>
                <w:bCs/>
                <w:color w:val="auto"/>
                <w:kern w:val="0"/>
                <w:sz w:val="24"/>
                <w:lang w:bidi="ar"/>
              </w:rPr>
              <w:instrText xml:space="preserve"> = 4 \* GB2 \* MERGEFORMAT </w:instrText>
            </w:r>
            <w:r>
              <w:rPr>
                <w:rFonts w:hint="eastAsia"/>
                <w:bCs/>
                <w:color w:val="auto"/>
                <w:kern w:val="0"/>
                <w:sz w:val="24"/>
                <w:lang w:bidi="ar"/>
              </w:rPr>
              <w:fldChar w:fldCharType="separate"/>
            </w:r>
            <w:r>
              <w:rPr>
                <w:rFonts w:hint="eastAsia"/>
                <w:bCs/>
                <w:color w:val="auto"/>
                <w:kern w:val="0"/>
                <w:sz w:val="24"/>
                <w:lang w:bidi="ar"/>
              </w:rPr>
              <w:t>⑷</w:t>
            </w:r>
            <w:r>
              <w:rPr>
                <w:rFonts w:hint="eastAsia"/>
                <w:bCs/>
                <w:color w:val="auto"/>
                <w:kern w:val="0"/>
                <w:sz w:val="24"/>
                <w:lang w:bidi="ar"/>
              </w:rPr>
              <w:fldChar w:fldCharType="end"/>
            </w:r>
            <w:r>
              <w:rPr>
                <w:rFonts w:hint="eastAsia"/>
                <w:bCs/>
                <w:color w:val="auto"/>
                <w:kern w:val="0"/>
                <w:sz w:val="24"/>
                <w:lang w:bidi="ar"/>
              </w:rPr>
              <w:t>国民经济行业类别及代码：</w:t>
            </w:r>
            <w:r>
              <w:rPr>
                <w:rFonts w:hint="eastAsia" w:eastAsia="Times New Roman"/>
                <w:color w:val="auto"/>
                <w:sz w:val="24"/>
              </w:rPr>
              <w:t>N7610</w:t>
            </w:r>
            <w:r>
              <w:rPr>
                <w:rFonts w:eastAsia="Times New Roman"/>
                <w:color w:val="auto"/>
                <w:sz w:val="24"/>
              </w:rPr>
              <w:t>防洪除涝设施管理</w:t>
            </w:r>
          </w:p>
          <w:p>
            <w:pPr>
              <w:adjustRightInd w:val="0"/>
              <w:snapToGrid w:val="0"/>
              <w:spacing w:line="360" w:lineRule="auto"/>
              <w:ind w:firstLine="480" w:firstLineChars="200"/>
              <w:jc w:val="left"/>
              <w:rPr>
                <w:color w:val="auto"/>
                <w:kern w:val="0"/>
                <w:sz w:val="24"/>
              </w:rPr>
            </w:pPr>
            <w:r>
              <w:rPr>
                <w:rFonts w:hint="eastAsia" w:ascii="宋体" w:hAnsi="宋体" w:cs="宋体"/>
                <w:color w:val="auto"/>
                <w:kern w:val="0"/>
                <w:sz w:val="24"/>
              </w:rPr>
              <w:t>⑷</w:t>
            </w:r>
            <w:r>
              <w:rPr>
                <w:color w:val="auto"/>
                <w:kern w:val="0"/>
                <w:sz w:val="24"/>
              </w:rPr>
              <w:t>建设地点：</w:t>
            </w:r>
            <w:r>
              <w:rPr>
                <w:rFonts w:hint="eastAsia"/>
                <w:color w:val="auto"/>
                <w:sz w:val="24"/>
              </w:rPr>
              <w:t>本项目位于</w:t>
            </w:r>
            <w:r>
              <w:rPr>
                <w:color w:val="auto"/>
                <w:sz w:val="24"/>
              </w:rPr>
              <w:t>固原市</w:t>
            </w:r>
            <w:r>
              <w:rPr>
                <w:rFonts w:hint="eastAsia"/>
                <w:color w:val="auto"/>
                <w:sz w:val="24"/>
              </w:rPr>
              <w:t>彭阳县王洼镇王洼二矿东北侧的王洼沟内，</w:t>
            </w:r>
            <w:r>
              <w:rPr>
                <w:color w:val="auto"/>
                <w:sz w:val="24"/>
              </w:rPr>
              <w:t>地理坐标为</w:t>
            </w:r>
            <w:r>
              <w:rPr>
                <w:rFonts w:hint="eastAsia"/>
                <w:color w:val="auto"/>
                <w:sz w:val="24"/>
              </w:rPr>
              <w:t>东经106°37′25.36880″，北纬36°7′14.40917″，</w:t>
            </w:r>
            <w:r>
              <w:rPr>
                <w:color w:val="auto"/>
                <w:sz w:val="24"/>
              </w:rPr>
              <w:t>本项目</w:t>
            </w:r>
            <w:r>
              <w:rPr>
                <w:rFonts w:hint="eastAsia"/>
                <w:color w:val="auto"/>
                <w:sz w:val="24"/>
              </w:rPr>
              <w:t>与</w:t>
            </w:r>
            <w:r>
              <w:rPr>
                <w:color w:val="auto"/>
                <w:sz w:val="24"/>
              </w:rPr>
              <w:t>自治区、固原市位置关系见附图3</w:t>
            </w:r>
            <w:r>
              <w:rPr>
                <w:rFonts w:hint="eastAsia"/>
                <w:color w:val="auto"/>
                <w:sz w:val="24"/>
              </w:rPr>
              <w:t>、</w:t>
            </w:r>
            <w:r>
              <w:rPr>
                <w:color w:val="auto"/>
                <w:sz w:val="24"/>
              </w:rPr>
              <w:t>附图4；治理区遥感影像图见附图5。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12" w:hRule="atLeast"/>
          <w:jc w:val="center"/>
        </w:trPr>
        <w:tc>
          <w:tcPr>
            <w:tcW w:w="788" w:type="dxa"/>
            <w:vAlign w:val="center"/>
          </w:tcPr>
          <w:p>
            <w:pPr>
              <w:adjustRightInd w:val="0"/>
              <w:snapToGrid w:val="0"/>
              <w:jc w:val="center"/>
              <w:rPr>
                <w:color w:val="auto"/>
                <w:kern w:val="0"/>
                <w:sz w:val="24"/>
              </w:rPr>
            </w:pPr>
          </w:p>
          <w:p>
            <w:pPr>
              <w:pStyle w:val="25"/>
              <w:rPr>
                <w:color w:val="auto"/>
                <w:kern w:val="0"/>
                <w:sz w:val="24"/>
                <w:szCs w:val="24"/>
              </w:rPr>
            </w:pPr>
          </w:p>
          <w:p>
            <w:pPr>
              <w:pStyle w:val="25"/>
              <w:rPr>
                <w:color w:val="auto"/>
                <w:kern w:val="0"/>
                <w:sz w:val="24"/>
                <w:szCs w:val="24"/>
              </w:rPr>
            </w:pPr>
          </w:p>
          <w:p>
            <w:pPr>
              <w:adjustRightInd w:val="0"/>
              <w:snapToGrid w:val="0"/>
              <w:jc w:val="center"/>
              <w:rPr>
                <w:color w:val="auto"/>
                <w:kern w:val="0"/>
                <w:sz w:val="24"/>
              </w:rPr>
            </w:pPr>
          </w:p>
          <w:p>
            <w:pPr>
              <w:pStyle w:val="25"/>
              <w:rPr>
                <w:color w:val="auto"/>
                <w:kern w:val="0"/>
                <w:sz w:val="24"/>
                <w:szCs w:val="24"/>
              </w:rPr>
            </w:pPr>
          </w:p>
          <w:p>
            <w:pPr>
              <w:pStyle w:val="25"/>
              <w:rPr>
                <w:color w:val="auto"/>
                <w:kern w:val="0"/>
                <w:sz w:val="24"/>
                <w:szCs w:val="24"/>
              </w:rPr>
            </w:pPr>
          </w:p>
          <w:p>
            <w:pPr>
              <w:pStyle w:val="25"/>
              <w:rPr>
                <w:color w:val="auto"/>
                <w:kern w:val="0"/>
                <w:sz w:val="24"/>
                <w:szCs w:val="24"/>
              </w:rPr>
            </w:pPr>
          </w:p>
          <w:p>
            <w:pPr>
              <w:pStyle w:val="25"/>
              <w:rPr>
                <w:color w:val="auto"/>
                <w:kern w:val="0"/>
                <w:sz w:val="24"/>
                <w:szCs w:val="24"/>
              </w:rPr>
            </w:pPr>
          </w:p>
          <w:p>
            <w:pPr>
              <w:pStyle w:val="25"/>
              <w:rPr>
                <w:color w:val="auto"/>
                <w:kern w:val="0"/>
                <w:sz w:val="24"/>
                <w:szCs w:val="24"/>
              </w:rPr>
            </w:pPr>
          </w:p>
          <w:p>
            <w:pPr>
              <w:pStyle w:val="25"/>
              <w:rPr>
                <w:color w:val="auto"/>
                <w:kern w:val="0"/>
                <w:sz w:val="24"/>
                <w:szCs w:val="24"/>
              </w:rPr>
            </w:pPr>
          </w:p>
          <w:p>
            <w:pPr>
              <w:pStyle w:val="25"/>
              <w:rPr>
                <w:color w:val="auto"/>
                <w:kern w:val="0"/>
                <w:sz w:val="24"/>
                <w:szCs w:val="24"/>
              </w:rPr>
            </w:pPr>
          </w:p>
          <w:p>
            <w:pPr>
              <w:adjustRightInd w:val="0"/>
              <w:snapToGrid w:val="0"/>
              <w:jc w:val="center"/>
              <w:rPr>
                <w:color w:val="auto"/>
                <w:kern w:val="0"/>
                <w:sz w:val="24"/>
              </w:rPr>
            </w:pPr>
          </w:p>
          <w:p>
            <w:pPr>
              <w:adjustRightInd w:val="0"/>
              <w:snapToGrid w:val="0"/>
              <w:jc w:val="center"/>
              <w:rPr>
                <w:b/>
                <w:bCs/>
                <w:color w:val="auto"/>
                <w:kern w:val="0"/>
                <w:sz w:val="24"/>
              </w:rPr>
            </w:pPr>
            <w:r>
              <w:rPr>
                <w:rFonts w:hint="eastAsia"/>
                <w:b/>
                <w:bCs/>
                <w:color w:val="auto"/>
                <w:kern w:val="0"/>
                <w:sz w:val="24"/>
              </w:rPr>
              <w:t>2</w:t>
            </w:r>
            <w:r>
              <w:rPr>
                <w:b/>
                <w:bCs/>
                <w:color w:val="auto"/>
                <w:kern w:val="0"/>
                <w:sz w:val="24"/>
              </w:rPr>
              <w:t>.2项目组成及规模</w:t>
            </w:r>
          </w:p>
          <w:p>
            <w:pPr>
              <w:adjustRightInd w:val="0"/>
              <w:snapToGrid w:val="0"/>
              <w:jc w:val="center"/>
              <w:rPr>
                <w:color w:val="auto"/>
                <w:kern w:val="0"/>
                <w:sz w:val="24"/>
              </w:rPr>
            </w:pPr>
          </w:p>
          <w:p>
            <w:pPr>
              <w:adjustRightInd w:val="0"/>
              <w:snapToGrid w:val="0"/>
              <w:jc w:val="center"/>
              <w:rPr>
                <w:color w:val="auto"/>
                <w:kern w:val="0"/>
                <w:sz w:val="24"/>
              </w:rPr>
            </w:pPr>
          </w:p>
          <w:p>
            <w:pPr>
              <w:pStyle w:val="25"/>
              <w:rPr>
                <w:color w:val="auto"/>
                <w:kern w:val="0"/>
                <w:sz w:val="24"/>
                <w:szCs w:val="24"/>
              </w:rPr>
            </w:pPr>
          </w:p>
          <w:p>
            <w:pPr>
              <w:pStyle w:val="25"/>
              <w:rPr>
                <w:color w:val="auto"/>
                <w:kern w:val="0"/>
                <w:sz w:val="24"/>
                <w:szCs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b/>
                <w:bCs/>
                <w:color w:val="auto"/>
                <w:kern w:val="0"/>
                <w:sz w:val="24"/>
              </w:rPr>
            </w:pPr>
          </w:p>
          <w:p>
            <w:pPr>
              <w:adjustRightInd w:val="0"/>
              <w:snapToGrid w:val="0"/>
              <w:jc w:val="center"/>
              <w:rPr>
                <w:b/>
                <w:bCs/>
                <w:color w:val="auto"/>
                <w:kern w:val="0"/>
                <w:sz w:val="24"/>
              </w:rPr>
            </w:pPr>
            <w:r>
              <w:rPr>
                <w:rFonts w:hint="eastAsia"/>
                <w:b/>
                <w:bCs/>
                <w:color w:val="auto"/>
                <w:kern w:val="0"/>
                <w:sz w:val="24"/>
              </w:rPr>
              <w:t>2</w:t>
            </w:r>
            <w:r>
              <w:rPr>
                <w:b/>
                <w:bCs/>
                <w:color w:val="auto"/>
                <w:kern w:val="0"/>
                <w:sz w:val="24"/>
              </w:rPr>
              <w:t>.2项目组成及规模</w:t>
            </w: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adjustRightInd w:val="0"/>
              <w:snapToGrid w:val="0"/>
              <w:rPr>
                <w:color w:val="auto"/>
              </w:rPr>
            </w:pPr>
          </w:p>
          <w:p>
            <w:pPr>
              <w:pStyle w:val="2"/>
              <w:adjustRightInd w:val="0"/>
              <w:spacing w:before="0" w:after="0" w:line="240" w:lineRule="auto"/>
              <w:ind w:right="0" w:firstLine="210"/>
              <w:jc w:val="center"/>
              <w:rPr>
                <w:color w:val="auto"/>
              </w:rPr>
            </w:pPr>
          </w:p>
          <w:p>
            <w:pPr>
              <w:adjustRightInd w:val="0"/>
              <w:snapToGrid w:val="0"/>
              <w:jc w:val="center"/>
              <w:rPr>
                <w:b/>
                <w:bCs/>
                <w:color w:val="auto"/>
                <w:kern w:val="0"/>
                <w:sz w:val="24"/>
              </w:rPr>
            </w:pPr>
            <w:r>
              <w:rPr>
                <w:b/>
                <w:bCs/>
                <w:color w:val="auto"/>
                <w:kern w:val="0"/>
                <w:sz w:val="24"/>
              </w:rPr>
              <w:t>2.2</w:t>
            </w:r>
          </w:p>
          <w:p>
            <w:pPr>
              <w:adjustRightInd w:val="0"/>
              <w:snapToGrid w:val="0"/>
              <w:jc w:val="center"/>
              <w:rPr>
                <w:b/>
                <w:bCs/>
                <w:color w:val="auto"/>
                <w:kern w:val="0"/>
                <w:sz w:val="24"/>
              </w:rPr>
            </w:pPr>
            <w:r>
              <w:rPr>
                <w:b/>
                <w:bCs/>
                <w:color w:val="auto"/>
                <w:kern w:val="0"/>
                <w:sz w:val="24"/>
              </w:rPr>
              <w:t>项目组成及规模</w:t>
            </w:r>
          </w:p>
        </w:tc>
        <w:tc>
          <w:tcPr>
            <w:tcW w:w="8568" w:type="dxa"/>
            <w:vAlign w:val="center"/>
          </w:tcPr>
          <w:p>
            <w:pPr>
              <w:adjustRightInd w:val="0"/>
              <w:snapToGrid w:val="0"/>
              <w:spacing w:line="360" w:lineRule="auto"/>
              <w:jc w:val="left"/>
              <w:rPr>
                <w:b/>
                <w:color w:val="auto"/>
                <w:kern w:val="0"/>
                <w:sz w:val="24"/>
                <w:lang w:bidi="ar"/>
              </w:rPr>
            </w:pPr>
            <w:r>
              <w:rPr>
                <w:b/>
                <w:bCs/>
                <w:color w:val="auto"/>
                <w:kern w:val="0"/>
                <w:sz w:val="24"/>
              </w:rPr>
              <w:t>2.2.1本项目相关工程概况</w:t>
            </w:r>
          </w:p>
          <w:p>
            <w:pPr>
              <w:adjustRightInd w:val="0"/>
              <w:snapToGrid w:val="0"/>
              <w:spacing w:line="360" w:lineRule="auto"/>
              <w:ind w:firstLine="482" w:firstLineChars="200"/>
              <w:jc w:val="left"/>
              <w:rPr>
                <w:b/>
                <w:color w:val="auto"/>
                <w:kern w:val="0"/>
                <w:sz w:val="24"/>
                <w:lang w:bidi="ar"/>
              </w:rPr>
            </w:pPr>
            <w:r>
              <w:rPr>
                <w:rFonts w:hint="eastAsia"/>
                <w:b/>
                <w:color w:val="auto"/>
                <w:kern w:val="0"/>
                <w:sz w:val="24"/>
                <w:lang w:bidi="ar"/>
              </w:rPr>
              <w:t>1、王洼二矿矸石场概况</w:t>
            </w:r>
          </w:p>
          <w:p>
            <w:pPr>
              <w:adjustRightInd w:val="0"/>
              <w:snapToGrid w:val="0"/>
              <w:spacing w:line="360" w:lineRule="auto"/>
              <w:ind w:firstLine="480" w:firstLineChars="200"/>
              <w:jc w:val="left"/>
              <w:rPr>
                <w:color w:val="auto"/>
                <w:sz w:val="24"/>
              </w:rPr>
            </w:pPr>
            <w:r>
              <w:rPr>
                <w:rFonts w:hint="eastAsia"/>
                <w:color w:val="auto"/>
                <w:sz w:val="24"/>
              </w:rPr>
              <w:t>王洼二矿于2010年正式投产，矿井生产能力150万t/a，2012年7月26日自治区经济和信息化委员会《关于对宁夏发电集团有限责任公司王洼煤矿和王洼二矿生产能力核定结果的批复》（宁经信煤炭发[2012]372号）产能核增为300万t/a，建设工业场地、风井工业场地及配套矸石场1座。</w:t>
            </w:r>
          </w:p>
          <w:p>
            <w:pPr>
              <w:adjustRightInd w:val="0"/>
              <w:snapToGrid w:val="0"/>
              <w:spacing w:line="360" w:lineRule="auto"/>
              <w:ind w:firstLine="480" w:firstLineChars="200"/>
              <w:jc w:val="left"/>
              <w:rPr>
                <w:color w:val="auto"/>
                <w:sz w:val="24"/>
              </w:rPr>
            </w:pPr>
            <w:r>
              <w:rPr>
                <w:rFonts w:hint="eastAsia"/>
                <w:color w:val="auto"/>
                <w:sz w:val="24"/>
              </w:rPr>
              <w:t>王洼二矿矸石场位于工业场地东北方向王洼沟内</w:t>
            </w:r>
            <w:r>
              <w:rPr>
                <w:color w:val="auto"/>
                <w:sz w:val="24"/>
              </w:rPr>
              <w:t>，</w:t>
            </w:r>
            <w:r>
              <w:rPr>
                <w:rFonts w:hint="eastAsia"/>
                <w:color w:val="auto"/>
                <w:sz w:val="24"/>
              </w:rPr>
              <w:t xml:space="preserve"> 2010年6月王洼二矿整体完成竣工环保验收后，矸石场随之投运，并沿用至2019年12月库满封场。矸石场起点为王洼</w:t>
            </w:r>
            <w:r>
              <w:rPr>
                <w:color w:val="auto"/>
                <w:sz w:val="24"/>
              </w:rPr>
              <w:t>二矿通行桥</w:t>
            </w:r>
            <w:r>
              <w:rPr>
                <w:rFonts w:hint="eastAsia"/>
                <w:color w:val="auto"/>
                <w:sz w:val="24"/>
              </w:rPr>
              <w:t>，目前矸石场已占用填满约0.47km王洼沟，矸石场末端建有拦渣坝1座，坝高30m；矸石场底部敷设有两道DN1500镀锌波纹管，穿拦渣坝底部将上游洪水导入下游沟道；矸石场已实施综合整治。王洼二矿及矸石场环保手续履行情况见附表1。</w:t>
            </w:r>
          </w:p>
          <w:p>
            <w:pPr>
              <w:adjustRightInd w:val="0"/>
              <w:snapToGrid w:val="0"/>
              <w:spacing w:line="360" w:lineRule="auto"/>
              <w:ind w:firstLine="482" w:firstLineChars="200"/>
              <w:jc w:val="left"/>
              <w:rPr>
                <w:color w:val="auto"/>
                <w:sz w:val="24"/>
              </w:rPr>
            </w:pPr>
            <w:r>
              <w:rPr>
                <w:rFonts w:hint="eastAsia"/>
                <w:b/>
                <w:color w:val="auto"/>
                <w:kern w:val="0"/>
                <w:sz w:val="24"/>
                <w:lang w:bidi="ar"/>
              </w:rPr>
              <w:t>2、矸石场顶部</w:t>
            </w:r>
            <w:r>
              <w:rPr>
                <w:b/>
                <w:color w:val="auto"/>
                <w:kern w:val="0"/>
                <w:sz w:val="24"/>
                <w:lang w:bidi="ar"/>
              </w:rPr>
              <w:t>Ⅱ类</w:t>
            </w:r>
            <w:r>
              <w:rPr>
                <w:rFonts w:hint="eastAsia"/>
                <w:b/>
                <w:color w:val="auto"/>
                <w:kern w:val="0"/>
                <w:sz w:val="24"/>
                <w:lang w:bidi="ar"/>
              </w:rPr>
              <w:t>固废暂存</w:t>
            </w:r>
            <w:r>
              <w:rPr>
                <w:b/>
                <w:color w:val="auto"/>
                <w:kern w:val="0"/>
                <w:sz w:val="24"/>
                <w:lang w:bidi="ar"/>
              </w:rPr>
              <w:t>场</w:t>
            </w:r>
            <w:r>
              <w:rPr>
                <w:rFonts w:hint="eastAsia"/>
                <w:b/>
                <w:color w:val="auto"/>
                <w:kern w:val="0"/>
                <w:sz w:val="24"/>
                <w:lang w:bidi="ar"/>
              </w:rPr>
              <w:t>概况</w:t>
            </w:r>
          </w:p>
          <w:p>
            <w:pPr>
              <w:adjustRightInd w:val="0"/>
              <w:snapToGrid w:val="0"/>
              <w:spacing w:line="360" w:lineRule="auto"/>
              <w:ind w:firstLine="480" w:firstLineChars="200"/>
              <w:jc w:val="left"/>
              <w:rPr>
                <w:color w:val="auto"/>
                <w:sz w:val="24"/>
              </w:rPr>
            </w:pPr>
            <w:r>
              <w:rPr>
                <w:rFonts w:hint="eastAsia"/>
                <w:color w:val="auto"/>
                <w:sz w:val="24"/>
              </w:rPr>
              <w:t>王洼二矸石场整体为</w:t>
            </w:r>
            <w:r>
              <w:rPr>
                <w:color w:val="auto"/>
                <w:sz w:val="24"/>
              </w:rPr>
              <w:t>Ⅰ类一般工业固体废物</w:t>
            </w:r>
            <w:r>
              <w:rPr>
                <w:rFonts w:hint="eastAsia"/>
                <w:color w:val="auto"/>
                <w:sz w:val="24"/>
              </w:rPr>
              <w:t>，2020年底王洼产业园管委会已对矸石场进行利用，在矸石场顶部末端建设完成0.5万m</w:t>
            </w:r>
            <w:r>
              <w:rPr>
                <w:rFonts w:hint="eastAsia"/>
                <w:color w:val="auto"/>
                <w:sz w:val="24"/>
                <w:vertAlign w:val="superscript"/>
              </w:rPr>
              <w:t>3</w:t>
            </w:r>
            <w:r>
              <w:rPr>
                <w:color w:val="auto"/>
                <w:sz w:val="24"/>
              </w:rPr>
              <w:t>II类</w:t>
            </w:r>
            <w:r>
              <w:rPr>
                <w:rFonts w:hint="eastAsia"/>
                <w:color w:val="auto"/>
                <w:sz w:val="24"/>
              </w:rPr>
              <w:t>固废暂存场1处，</w:t>
            </w:r>
            <w:r>
              <w:rPr>
                <w:color w:val="auto"/>
                <w:sz w:val="24"/>
              </w:rPr>
              <w:t>面积为2000</w:t>
            </w:r>
            <w:r>
              <w:rPr>
                <w:rFonts w:hint="eastAsia"/>
                <w:color w:val="auto"/>
                <w:sz w:val="24"/>
              </w:rPr>
              <w:t>m</w:t>
            </w:r>
            <w:r>
              <w:rPr>
                <w:color w:val="auto"/>
                <w:sz w:val="24"/>
                <w:vertAlign w:val="superscript"/>
              </w:rPr>
              <w:t>2</w:t>
            </w:r>
            <w:r>
              <w:rPr>
                <w:color w:val="auto"/>
                <w:sz w:val="24"/>
              </w:rPr>
              <w:t>，深度为3.5m，</w:t>
            </w:r>
            <w:r>
              <w:rPr>
                <w:rFonts w:hint="eastAsia"/>
                <w:color w:val="auto"/>
                <w:sz w:val="24"/>
              </w:rPr>
              <w:t>采用两层红黏土加土工膜进行防渗处理，但四周未采取截洪措施，固原市生态环境局彭阳分局以 固环彭审[2021</w:t>
            </w:r>
            <w:r>
              <w:rPr>
                <w:color w:val="auto"/>
                <w:sz w:val="24"/>
              </w:rPr>
              <w:t>]</w:t>
            </w:r>
            <w:r>
              <w:rPr>
                <w:rFonts w:hint="eastAsia"/>
                <w:color w:val="auto"/>
                <w:sz w:val="24"/>
              </w:rPr>
              <w:t>8号 对《彭阳县王洼产业园区一般工业固废存贮处置场建设项目环境影响报告表》进行了批复</w:t>
            </w:r>
            <w:r>
              <w:rPr>
                <w:color w:val="auto"/>
                <w:sz w:val="24"/>
              </w:rPr>
              <w:t>。</w:t>
            </w:r>
          </w:p>
          <w:p>
            <w:pPr>
              <w:adjustRightInd w:val="0"/>
              <w:snapToGrid w:val="0"/>
              <w:spacing w:line="360" w:lineRule="auto"/>
              <w:ind w:firstLine="482" w:firstLineChars="200"/>
              <w:jc w:val="left"/>
              <w:rPr>
                <w:b/>
                <w:bCs/>
                <w:color w:val="auto"/>
                <w:sz w:val="24"/>
              </w:rPr>
            </w:pPr>
            <w:r>
              <w:rPr>
                <w:rFonts w:hint="eastAsia"/>
                <w:b/>
                <w:bCs/>
                <w:color w:val="auto"/>
                <w:sz w:val="24"/>
              </w:rPr>
              <w:t>3、王洼沟左侧岸坡治理现状</w:t>
            </w:r>
          </w:p>
          <w:p>
            <w:pPr>
              <w:adjustRightInd w:val="0"/>
              <w:snapToGrid w:val="0"/>
              <w:spacing w:line="360" w:lineRule="auto"/>
              <w:ind w:firstLine="480" w:firstLineChars="200"/>
              <w:jc w:val="left"/>
              <w:rPr>
                <w:color w:val="auto"/>
                <w:sz w:val="24"/>
              </w:rPr>
            </w:pPr>
            <w:r>
              <w:rPr>
                <w:rFonts w:hint="eastAsia"/>
                <w:color w:val="auto"/>
                <w:sz w:val="24"/>
              </w:rPr>
              <w:t>对已建矸石场至上游范新庄水库约1.1km沟道左岸岸坡采用煤矸石进行塌陷滑坡治理，治理后形成煤矸石堤岸，堤顶平均宽35m，高10m，岸坡1:2。堤岸采用填矸石分层充填，每层排矸高度达到1m时进行平整碾压，每填高5m后采用治理区剥离表土进行覆盖隔离以防止矸石自燃，覆土厚度0.5m。直至达到设计回填高度后按植被绿化需要进行了绿化覆土，覆土厚度在1-2m，能够满足植被生长。</w:t>
            </w:r>
          </w:p>
          <w:p>
            <w:pPr>
              <w:adjustRightInd w:val="0"/>
              <w:snapToGrid w:val="0"/>
              <w:spacing w:line="360" w:lineRule="auto"/>
              <w:ind w:firstLine="482" w:firstLineChars="200"/>
              <w:jc w:val="left"/>
              <w:rPr>
                <w:b/>
                <w:bCs/>
                <w:color w:val="auto"/>
                <w:sz w:val="24"/>
              </w:rPr>
            </w:pPr>
            <w:r>
              <w:rPr>
                <w:rFonts w:hint="eastAsia"/>
                <w:b/>
                <w:bCs/>
                <w:color w:val="auto"/>
                <w:sz w:val="24"/>
              </w:rPr>
              <w:t>4、现状沟道排水、排洪设施</w:t>
            </w:r>
          </w:p>
          <w:p>
            <w:pPr>
              <w:adjustRightInd w:val="0"/>
              <w:snapToGrid w:val="0"/>
              <w:spacing w:line="360" w:lineRule="auto"/>
              <w:ind w:firstLine="480" w:firstLineChars="200"/>
              <w:rPr>
                <w:color w:val="auto"/>
                <w:sz w:val="24"/>
              </w:rPr>
            </w:pPr>
            <w:r>
              <w:rPr>
                <w:rFonts w:hint="eastAsia"/>
                <w:color w:val="auto"/>
                <w:sz w:val="24"/>
              </w:rPr>
              <w:t>王洼沟沟头区域建设有范新庄水库，控制流域面积为7.19km</w:t>
            </w:r>
            <w:r>
              <w:rPr>
                <w:rFonts w:hint="eastAsia"/>
                <w:color w:val="auto"/>
                <w:sz w:val="24"/>
                <w:vertAlign w:val="superscript"/>
              </w:rPr>
              <w:t>2</w:t>
            </w:r>
            <w:r>
              <w:rPr>
                <w:rFonts w:hint="eastAsia"/>
                <w:color w:val="auto"/>
                <w:sz w:val="24"/>
              </w:rPr>
              <w:t>，库容为93.0万m</w:t>
            </w:r>
            <w:r>
              <w:rPr>
                <w:rFonts w:hint="eastAsia"/>
                <w:color w:val="auto"/>
                <w:sz w:val="24"/>
                <w:vertAlign w:val="superscript"/>
              </w:rPr>
              <w:t>3</w:t>
            </w:r>
            <w:r>
              <w:rPr>
                <w:rFonts w:hint="eastAsia"/>
                <w:color w:val="auto"/>
                <w:sz w:val="24"/>
              </w:rPr>
              <w:t>，该水库汇集周边洪水，蓄水水位高于起调水位时通过泄洪洞向下游泄水，正常状况下沟道内仅为水库渗流及地下水露头形成的少量水流，无长流水。在发生超标准洪水条件下，范新庄水库将有洪水下泄王洼沟。</w:t>
            </w:r>
          </w:p>
          <w:p>
            <w:pPr>
              <w:adjustRightInd w:val="0"/>
              <w:snapToGrid w:val="0"/>
              <w:spacing w:line="360" w:lineRule="auto"/>
              <w:ind w:firstLine="480" w:firstLineChars="200"/>
              <w:rPr>
                <w:color w:val="auto"/>
                <w:sz w:val="24"/>
              </w:rPr>
            </w:pPr>
            <w:r>
              <w:rPr>
                <w:rFonts w:hint="eastAsia"/>
                <w:color w:val="auto"/>
                <w:sz w:val="24"/>
              </w:rPr>
              <w:t>王洼二矿工业场地内建有矿井水处理站1座，经综合利用后的剩余尾水通过1处排污口（E106.624488°、N36.119894°）通过管道敷至排水涵管，根据王洼二矿水资源台账，现状排水量最高月为157525.40m</w:t>
            </w:r>
            <w:r>
              <w:rPr>
                <w:rFonts w:hint="eastAsia"/>
                <w:color w:val="auto"/>
                <w:sz w:val="24"/>
                <w:vertAlign w:val="superscript"/>
              </w:rPr>
              <w:t>3</w:t>
            </w:r>
            <w:r>
              <w:rPr>
                <w:rFonts w:hint="eastAsia"/>
                <w:color w:val="auto"/>
                <w:sz w:val="24"/>
              </w:rPr>
              <w:t>（</w:t>
            </w:r>
            <w:r>
              <w:rPr>
                <w:color w:val="auto"/>
                <w:sz w:val="24"/>
              </w:rPr>
              <w:t>0.061</w:t>
            </w:r>
            <w:r>
              <w:rPr>
                <w:rFonts w:hint="eastAsia"/>
                <w:color w:val="auto"/>
                <w:sz w:val="24"/>
              </w:rPr>
              <w:t>m</w:t>
            </w:r>
            <w:r>
              <w:rPr>
                <w:rFonts w:hint="eastAsia"/>
                <w:color w:val="auto"/>
                <w:sz w:val="24"/>
                <w:vertAlign w:val="superscript"/>
              </w:rPr>
              <w:t>3</w:t>
            </w:r>
            <w:r>
              <w:rPr>
                <w:rFonts w:hint="eastAsia"/>
                <w:color w:val="auto"/>
                <w:sz w:val="24"/>
              </w:rPr>
              <w:t>/s）。</w:t>
            </w:r>
          </w:p>
          <w:p>
            <w:pPr>
              <w:adjustRightInd w:val="0"/>
              <w:snapToGrid w:val="0"/>
              <w:spacing w:line="360" w:lineRule="auto"/>
              <w:ind w:firstLine="480" w:firstLineChars="200"/>
              <w:rPr>
                <w:color w:val="auto"/>
                <w:sz w:val="24"/>
              </w:rPr>
            </w:pPr>
            <w:r>
              <w:rPr>
                <w:rFonts w:hint="eastAsia"/>
                <w:color w:val="auto"/>
                <w:sz w:val="24"/>
              </w:rPr>
              <w:t>王洼沟洪水及王洼二矿矿井尾水通过范新庄水库下游王洼沟（矸石场以上沟道），经王洼二矿通行桥，穿拦渣坝底部2道涵管排入下游沟道。王洼二矿通行桥及已建矸石场底部敷设有两道DN1500镀锌波纹管，实现沟道排洪。项目区工程现状见图2-</w:t>
            </w:r>
            <w:r>
              <w:rPr>
                <w:color w:val="auto"/>
                <w:sz w:val="24"/>
              </w:rPr>
              <w:t>1</w:t>
            </w:r>
            <w:r>
              <w:rPr>
                <w:rFonts w:hint="eastAsia"/>
                <w:color w:val="auto"/>
                <w:sz w:val="24"/>
              </w:rPr>
              <w:t>、图2-</w:t>
            </w:r>
            <w:r>
              <w:rPr>
                <w:color w:val="auto"/>
                <w:sz w:val="24"/>
              </w:rPr>
              <w:t>2</w:t>
            </w:r>
            <w:r>
              <w:rPr>
                <w:rFonts w:hint="eastAsia"/>
                <w:color w:val="auto"/>
                <w:sz w:val="24"/>
              </w:rPr>
              <w:t>。</w:t>
            </w:r>
          </w:p>
          <w:p>
            <w:pPr>
              <w:adjustRightInd w:val="0"/>
              <w:snapToGrid w:val="0"/>
              <w:rPr>
                <w:color w:val="auto"/>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jc w:val="center"/>
              <w:rPr>
                <w:color w:val="auto"/>
              </w:rPr>
            </w:pPr>
            <w:r>
              <w:rPr>
                <w:color w:val="auto"/>
              </w:rPr>
              <w:drawing>
                <wp:inline distT="0" distB="0" distL="0" distR="0">
                  <wp:extent cx="4939030" cy="6724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t="1818" b="1922"/>
                          <a:stretch>
                            <a:fillRect/>
                          </a:stretch>
                        </pic:blipFill>
                        <pic:spPr>
                          <a:xfrm>
                            <a:off x="0" y="0"/>
                            <a:ext cx="4944311" cy="6731507"/>
                          </a:xfrm>
                          <a:prstGeom prst="rect">
                            <a:avLst/>
                          </a:prstGeom>
                          <a:noFill/>
                          <a:ln>
                            <a:noFill/>
                          </a:ln>
                        </pic:spPr>
                      </pic:pic>
                    </a:graphicData>
                  </a:graphic>
                </wp:inline>
              </w:drawing>
            </w:r>
          </w:p>
          <w:p>
            <w:pPr>
              <w:pStyle w:val="2"/>
              <w:ind w:firstLine="0" w:firstLineChars="0"/>
              <w:jc w:val="center"/>
              <w:rPr>
                <w:color w:val="auto"/>
                <w:sz w:val="24"/>
                <w:szCs w:val="24"/>
              </w:rPr>
            </w:pPr>
            <w:r>
              <w:rPr>
                <w:rFonts w:hint="eastAsia"/>
                <w:color w:val="auto"/>
                <w:sz w:val="24"/>
                <w:szCs w:val="24"/>
              </w:rPr>
              <w:t xml:space="preserve">图2-1         </w:t>
            </w:r>
            <w:r>
              <w:rPr>
                <w:rFonts w:hint="eastAsia"/>
                <w:b/>
                <w:bCs/>
                <w:color w:val="auto"/>
                <w:sz w:val="24"/>
                <w:szCs w:val="24"/>
              </w:rPr>
              <w:t xml:space="preserve"> 项目区域现状工程示意图</w:t>
            </w:r>
          </w:p>
          <w:p>
            <w:pPr>
              <w:rPr>
                <w:color w:val="auto"/>
              </w:rPr>
            </w:pPr>
          </w:p>
          <w:p>
            <w:pPr>
              <w:pStyle w:val="2"/>
              <w:ind w:firstLine="210"/>
              <w:rPr>
                <w:color w:val="auto"/>
              </w:rPr>
            </w:pPr>
          </w:p>
          <w:p>
            <w:pPr>
              <w:rPr>
                <w:color w:val="auto"/>
              </w:rPr>
            </w:pPr>
          </w:p>
          <w:p>
            <w:pPr>
              <w:pStyle w:val="2"/>
              <w:ind w:firstLine="210"/>
              <w:rPr>
                <w:color w:val="auto"/>
              </w:rPr>
            </w:pPr>
          </w:p>
          <w:p>
            <w:pPr>
              <w:rPr>
                <w:color w:val="auto"/>
              </w:rPr>
            </w:pPr>
          </w:p>
          <w:p>
            <w:pPr>
              <w:pStyle w:val="2"/>
              <w:adjustRightInd w:val="0"/>
              <w:spacing w:before="0" w:after="0" w:line="240" w:lineRule="auto"/>
              <w:ind w:right="0" w:firstLine="0" w:firstLineChars="0"/>
              <w:rPr>
                <w:color w:val="auto"/>
              </w:rPr>
            </w:pPr>
          </w:p>
          <w:p>
            <w:pPr>
              <w:adjustRightInd w:val="0"/>
              <w:snapToGrid w:val="0"/>
              <w:rPr>
                <w:color w:val="auto"/>
              </w:rPr>
            </w:pPr>
          </w:p>
          <w:p>
            <w:pPr>
              <w:pStyle w:val="2"/>
              <w:adjustRightInd w:val="0"/>
              <w:spacing w:before="0" w:after="0" w:line="240" w:lineRule="auto"/>
              <w:ind w:right="0" w:firstLine="0" w:firstLineChars="0"/>
              <w:rPr>
                <w:color w:val="auto"/>
              </w:rPr>
            </w:pPr>
          </w:p>
          <w:p>
            <w:pPr>
              <w:adjustRightInd w:val="0"/>
              <w:snapToGrid w:val="0"/>
              <w:rPr>
                <w:color w:val="auto"/>
              </w:rPr>
            </w:pPr>
          </w:p>
          <w:tbl>
            <w:tblPr>
              <w:tblStyle w:val="20"/>
              <w:tblW w:w="8220" w:type="dxa"/>
              <w:jc w:val="center"/>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ayout w:type="fixed"/>
              <w:tblCellMar>
                <w:top w:w="0" w:type="dxa"/>
                <w:left w:w="108" w:type="dxa"/>
                <w:bottom w:w="0" w:type="dxa"/>
                <w:right w:w="108" w:type="dxa"/>
              </w:tblCellMar>
            </w:tblPr>
            <w:tblGrid>
              <w:gridCol w:w="4110"/>
              <w:gridCol w:w="4110"/>
            </w:tblGrid>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CellMar>
                  <w:top w:w="0" w:type="dxa"/>
                  <w:left w:w="108" w:type="dxa"/>
                  <w:bottom w:w="0" w:type="dxa"/>
                  <w:right w:w="108" w:type="dxa"/>
                </w:tblCellMar>
              </w:tblPrEx>
              <w:trPr>
                <w:jc w:val="center"/>
              </w:trPr>
              <w:tc>
                <w:tcPr>
                  <w:tcW w:w="4110" w:type="dxa"/>
                  <w:tcBorders>
                    <w:tl2br w:val="nil"/>
                    <w:tr2bl w:val="nil"/>
                  </w:tcBorders>
                </w:tcPr>
                <w:p>
                  <w:pPr>
                    <w:adjustRightInd w:val="0"/>
                    <w:snapToGrid w:val="0"/>
                    <w:spacing w:before="48" w:beforeLines="20" w:after="24" w:afterLines="10"/>
                    <w:jc w:val="center"/>
                    <w:rPr>
                      <w:color w:val="auto"/>
                      <w:sz w:val="24"/>
                    </w:rPr>
                  </w:pPr>
                  <w:r>
                    <w:rPr>
                      <w:rFonts w:hint="eastAsia"/>
                      <w:color w:val="auto"/>
                    </w:rPr>
                    <w:drawing>
                      <wp:inline distT="0" distB="0" distL="114300" distR="114300">
                        <wp:extent cx="2448560" cy="1836420"/>
                        <wp:effectExtent l="0" t="0" r="8890" b="11430"/>
                        <wp:docPr id="81" name="图片 56" descr="微信图片_2021070823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6" descr="微信图片_20210708233145"/>
                                <pic:cNvPicPr>
                                  <a:picLocks noChangeAspect="1"/>
                                </pic:cNvPicPr>
                              </pic:nvPicPr>
                              <pic:blipFill>
                                <a:blip r:embed="rId9"/>
                                <a:stretch>
                                  <a:fillRect/>
                                </a:stretch>
                              </pic:blipFill>
                              <pic:spPr>
                                <a:xfrm>
                                  <a:off x="0" y="0"/>
                                  <a:ext cx="2448560" cy="1836420"/>
                                </a:xfrm>
                                <a:prstGeom prst="rect">
                                  <a:avLst/>
                                </a:prstGeom>
                                <a:noFill/>
                                <a:ln>
                                  <a:noFill/>
                                </a:ln>
                              </pic:spPr>
                            </pic:pic>
                          </a:graphicData>
                        </a:graphic>
                      </wp:inline>
                    </w:drawing>
                  </w:r>
                </w:p>
              </w:tc>
              <w:tc>
                <w:tcPr>
                  <w:tcW w:w="4110" w:type="dxa"/>
                  <w:tcBorders>
                    <w:tl2br w:val="nil"/>
                    <w:tr2bl w:val="nil"/>
                  </w:tcBorders>
                </w:tcPr>
                <w:p>
                  <w:pPr>
                    <w:adjustRightInd w:val="0"/>
                    <w:snapToGrid w:val="0"/>
                    <w:spacing w:before="48" w:beforeLines="20"/>
                    <w:jc w:val="left"/>
                    <w:rPr>
                      <w:color w:val="auto"/>
                      <w:sz w:val="24"/>
                    </w:rPr>
                  </w:pPr>
                  <w:bookmarkStart w:id="5" w:name="_Toc22754"/>
                  <w:bookmarkStart w:id="6" w:name="_Toc6297"/>
                  <w:r>
                    <w:rPr>
                      <w:rFonts w:hint="eastAsia"/>
                      <w:color w:val="auto"/>
                    </w:rPr>
                    <w:drawing>
                      <wp:inline distT="0" distB="0" distL="114300" distR="114300">
                        <wp:extent cx="2628265" cy="1852295"/>
                        <wp:effectExtent l="0" t="0" r="635" b="14605"/>
                        <wp:docPr id="82" name="图片 57" descr="IMG_20210524_10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7" descr="IMG_20210524_103134"/>
                                <pic:cNvPicPr>
                                  <a:picLocks noChangeAspect="1"/>
                                </pic:cNvPicPr>
                              </pic:nvPicPr>
                              <pic:blipFill>
                                <a:blip r:embed="rId10"/>
                                <a:stretch>
                                  <a:fillRect/>
                                </a:stretch>
                              </pic:blipFill>
                              <pic:spPr>
                                <a:xfrm>
                                  <a:off x="0" y="0"/>
                                  <a:ext cx="2628265" cy="1852295"/>
                                </a:xfrm>
                                <a:prstGeom prst="rect">
                                  <a:avLst/>
                                </a:prstGeom>
                                <a:noFill/>
                                <a:ln>
                                  <a:noFill/>
                                </a:ln>
                              </pic:spPr>
                            </pic:pic>
                          </a:graphicData>
                        </a:graphic>
                      </wp:inline>
                    </w:drawing>
                  </w:r>
                  <w:bookmarkEnd w:id="5"/>
                  <w:bookmarkEnd w:id="6"/>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CellMar>
                  <w:top w:w="0" w:type="dxa"/>
                  <w:left w:w="108" w:type="dxa"/>
                  <w:bottom w:w="0" w:type="dxa"/>
                  <w:right w:w="108" w:type="dxa"/>
                </w:tblCellMar>
              </w:tblPrEx>
              <w:trPr>
                <w:jc w:val="center"/>
              </w:trPr>
              <w:tc>
                <w:tcPr>
                  <w:tcW w:w="4110" w:type="dxa"/>
                  <w:tcBorders>
                    <w:tl2br w:val="nil"/>
                    <w:tr2bl w:val="nil"/>
                  </w:tcBorders>
                </w:tcPr>
                <w:p>
                  <w:pPr>
                    <w:adjustRightInd w:val="0"/>
                    <w:snapToGrid w:val="0"/>
                    <w:spacing w:line="360" w:lineRule="auto"/>
                    <w:ind w:firstLine="1054" w:firstLineChars="500"/>
                    <w:rPr>
                      <w:b/>
                      <w:color w:val="auto"/>
                      <w:sz w:val="24"/>
                    </w:rPr>
                  </w:pPr>
                  <w:r>
                    <w:rPr>
                      <w:rFonts w:hint="eastAsia"/>
                      <w:b/>
                      <w:color w:val="auto"/>
                    </w:rPr>
                    <w:t>王洼二矿井口图</w:t>
                  </w:r>
                </w:p>
              </w:tc>
              <w:tc>
                <w:tcPr>
                  <w:tcW w:w="4110" w:type="dxa"/>
                  <w:tcBorders>
                    <w:tl2br w:val="nil"/>
                    <w:tr2bl w:val="nil"/>
                  </w:tcBorders>
                </w:tcPr>
                <w:p>
                  <w:pPr>
                    <w:adjustRightInd w:val="0"/>
                    <w:snapToGrid w:val="0"/>
                    <w:spacing w:line="360" w:lineRule="auto"/>
                    <w:ind w:firstLine="1054" w:firstLineChars="500"/>
                    <w:rPr>
                      <w:b/>
                      <w:color w:val="auto"/>
                      <w:sz w:val="24"/>
                    </w:rPr>
                  </w:pPr>
                  <w:r>
                    <w:rPr>
                      <w:rFonts w:hint="eastAsia"/>
                      <w:b/>
                      <w:color w:val="auto"/>
                    </w:rPr>
                    <w:t>王洼二矿</w:t>
                  </w:r>
                  <w:r>
                    <w:rPr>
                      <w:b/>
                      <w:color w:val="auto"/>
                    </w:rPr>
                    <w:t>已建</w:t>
                  </w:r>
                  <w:r>
                    <w:rPr>
                      <w:rFonts w:hint="eastAsia"/>
                      <w:b/>
                      <w:color w:val="auto"/>
                    </w:rPr>
                    <w:t>矸石场</w:t>
                  </w:r>
                  <w:r>
                    <w:rPr>
                      <w:b/>
                      <w:color w:val="auto"/>
                    </w:rPr>
                    <w:t>现状</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CellMar>
                  <w:top w:w="0" w:type="dxa"/>
                  <w:left w:w="108" w:type="dxa"/>
                  <w:bottom w:w="0" w:type="dxa"/>
                  <w:right w:w="108" w:type="dxa"/>
                </w:tblCellMar>
              </w:tblPrEx>
              <w:trPr>
                <w:jc w:val="center"/>
              </w:trPr>
              <w:tc>
                <w:tcPr>
                  <w:tcW w:w="4110" w:type="dxa"/>
                  <w:tcBorders>
                    <w:tl2br w:val="nil"/>
                    <w:tr2bl w:val="nil"/>
                  </w:tcBorders>
                </w:tcPr>
                <w:p>
                  <w:pPr>
                    <w:adjustRightInd w:val="0"/>
                    <w:snapToGrid w:val="0"/>
                    <w:spacing w:before="48" w:beforeLines="20" w:after="24" w:afterLines="10"/>
                    <w:jc w:val="center"/>
                    <w:rPr>
                      <w:color w:val="auto"/>
                      <w:sz w:val="24"/>
                    </w:rPr>
                  </w:pPr>
                  <w:r>
                    <w:rPr>
                      <w:rFonts w:hint="eastAsia"/>
                      <w:b/>
                      <w:color w:val="auto"/>
                    </w:rPr>
                    <w:drawing>
                      <wp:inline distT="0" distB="0" distL="114300" distR="114300">
                        <wp:extent cx="2348865" cy="1758950"/>
                        <wp:effectExtent l="0" t="0" r="13335" b="12700"/>
                        <wp:docPr id="83" name="图片 58" descr="4c88eb820df077d510bbea24715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8" descr="4c88eb820df077d510bbea247156169"/>
                                <pic:cNvPicPr>
                                  <a:picLocks noChangeAspect="1"/>
                                </pic:cNvPicPr>
                              </pic:nvPicPr>
                              <pic:blipFill>
                                <a:blip r:embed="rId11"/>
                                <a:stretch>
                                  <a:fillRect/>
                                </a:stretch>
                              </pic:blipFill>
                              <pic:spPr>
                                <a:xfrm>
                                  <a:off x="0" y="0"/>
                                  <a:ext cx="2348865" cy="1758950"/>
                                </a:xfrm>
                                <a:prstGeom prst="rect">
                                  <a:avLst/>
                                </a:prstGeom>
                                <a:noFill/>
                                <a:ln>
                                  <a:noFill/>
                                </a:ln>
                              </pic:spPr>
                            </pic:pic>
                          </a:graphicData>
                        </a:graphic>
                      </wp:inline>
                    </w:drawing>
                  </w:r>
                </w:p>
              </w:tc>
              <w:tc>
                <w:tcPr>
                  <w:tcW w:w="4110" w:type="dxa"/>
                  <w:tcBorders>
                    <w:tl2br w:val="nil"/>
                    <w:tr2bl w:val="nil"/>
                  </w:tcBorders>
                </w:tcPr>
                <w:p>
                  <w:pPr>
                    <w:adjustRightInd w:val="0"/>
                    <w:snapToGrid w:val="0"/>
                    <w:spacing w:before="48" w:beforeLines="20"/>
                    <w:jc w:val="center"/>
                    <w:rPr>
                      <w:color w:val="auto"/>
                      <w:sz w:val="24"/>
                    </w:rPr>
                  </w:pPr>
                  <w:r>
                    <w:rPr>
                      <w:rFonts w:hint="eastAsia"/>
                      <w:color w:val="auto"/>
                    </w:rPr>
                    <w:drawing>
                      <wp:inline distT="0" distB="0" distL="114300" distR="114300">
                        <wp:extent cx="2308860" cy="1797050"/>
                        <wp:effectExtent l="0" t="0" r="15240" b="12700"/>
                        <wp:docPr id="84" name="图片 59" descr="f64ae94f83db2aea4eb138ab6925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9" descr="f64ae94f83db2aea4eb138ab692596a"/>
                                <pic:cNvPicPr>
                                  <a:picLocks noChangeAspect="1"/>
                                </pic:cNvPicPr>
                              </pic:nvPicPr>
                              <pic:blipFill>
                                <a:blip r:embed="rId12"/>
                                <a:stretch>
                                  <a:fillRect/>
                                </a:stretch>
                              </pic:blipFill>
                              <pic:spPr>
                                <a:xfrm>
                                  <a:off x="0" y="0"/>
                                  <a:ext cx="2308860" cy="1797050"/>
                                </a:xfrm>
                                <a:prstGeom prst="rect">
                                  <a:avLst/>
                                </a:prstGeom>
                                <a:noFill/>
                                <a:ln>
                                  <a:noFill/>
                                </a:ln>
                              </pic:spPr>
                            </pic:pic>
                          </a:graphicData>
                        </a:graphic>
                      </wp:inline>
                    </w:drawing>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CellMar>
                  <w:top w:w="0" w:type="dxa"/>
                  <w:left w:w="108" w:type="dxa"/>
                  <w:bottom w:w="0" w:type="dxa"/>
                  <w:right w:w="108" w:type="dxa"/>
                </w:tblCellMar>
              </w:tblPrEx>
              <w:trPr>
                <w:jc w:val="center"/>
              </w:trPr>
              <w:tc>
                <w:tcPr>
                  <w:tcW w:w="4110" w:type="dxa"/>
                  <w:tcBorders>
                    <w:tl2br w:val="nil"/>
                    <w:tr2bl w:val="nil"/>
                  </w:tcBorders>
                </w:tcPr>
                <w:p>
                  <w:pPr>
                    <w:adjustRightInd w:val="0"/>
                    <w:snapToGrid w:val="0"/>
                    <w:spacing w:line="360" w:lineRule="auto"/>
                    <w:jc w:val="center"/>
                    <w:rPr>
                      <w:color w:val="auto"/>
                      <w:sz w:val="24"/>
                    </w:rPr>
                  </w:pPr>
                  <w:r>
                    <w:rPr>
                      <w:rFonts w:hint="eastAsia"/>
                      <w:b/>
                      <w:color w:val="auto"/>
                    </w:rPr>
                    <w:t>矸石场底部涵管进口处</w:t>
                  </w:r>
                </w:p>
              </w:tc>
              <w:tc>
                <w:tcPr>
                  <w:tcW w:w="4110" w:type="dxa"/>
                  <w:tcBorders>
                    <w:tl2br w:val="nil"/>
                    <w:tr2bl w:val="nil"/>
                  </w:tcBorders>
                </w:tcPr>
                <w:p>
                  <w:pPr>
                    <w:adjustRightInd w:val="0"/>
                    <w:snapToGrid w:val="0"/>
                    <w:spacing w:line="360" w:lineRule="auto"/>
                    <w:jc w:val="center"/>
                    <w:rPr>
                      <w:color w:val="auto"/>
                      <w:sz w:val="24"/>
                    </w:rPr>
                  </w:pPr>
                  <w:r>
                    <w:rPr>
                      <w:rFonts w:hint="eastAsia"/>
                      <w:b/>
                      <w:color w:val="auto"/>
                    </w:rPr>
                    <w:t>矸石场拦矸坝及涵管出口</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CellMar>
                  <w:top w:w="0" w:type="dxa"/>
                  <w:left w:w="108" w:type="dxa"/>
                  <w:bottom w:w="0" w:type="dxa"/>
                  <w:right w:w="108" w:type="dxa"/>
                </w:tblCellMar>
              </w:tblPrEx>
              <w:trPr>
                <w:jc w:val="center"/>
              </w:trPr>
              <w:tc>
                <w:tcPr>
                  <w:tcW w:w="4110" w:type="dxa"/>
                  <w:tcBorders>
                    <w:tl2br w:val="nil"/>
                    <w:tr2bl w:val="nil"/>
                  </w:tcBorders>
                </w:tcPr>
                <w:p>
                  <w:pPr>
                    <w:adjustRightInd w:val="0"/>
                    <w:snapToGrid w:val="0"/>
                    <w:spacing w:before="48" w:beforeLines="20" w:after="24" w:afterLines="10"/>
                    <w:jc w:val="center"/>
                    <w:rPr>
                      <w:b/>
                      <w:color w:val="auto"/>
                    </w:rPr>
                  </w:pPr>
                  <w:r>
                    <w:rPr>
                      <w:b/>
                      <w:color w:val="auto"/>
                    </w:rPr>
                    <w:drawing>
                      <wp:inline distT="0" distB="0" distL="114300" distR="114300">
                        <wp:extent cx="2554605" cy="1791970"/>
                        <wp:effectExtent l="0" t="0" r="17145" b="17780"/>
                        <wp:docPr id="85" name="图片 60" descr="IMG_20210524_11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0" descr="IMG_20210524_110532"/>
                                <pic:cNvPicPr>
                                  <a:picLocks noChangeAspect="1"/>
                                </pic:cNvPicPr>
                              </pic:nvPicPr>
                              <pic:blipFill>
                                <a:blip r:embed="rId13"/>
                                <a:stretch>
                                  <a:fillRect/>
                                </a:stretch>
                              </pic:blipFill>
                              <pic:spPr>
                                <a:xfrm>
                                  <a:off x="0" y="0"/>
                                  <a:ext cx="2554605" cy="1791970"/>
                                </a:xfrm>
                                <a:prstGeom prst="rect">
                                  <a:avLst/>
                                </a:prstGeom>
                                <a:noFill/>
                                <a:ln>
                                  <a:noFill/>
                                </a:ln>
                              </pic:spPr>
                            </pic:pic>
                          </a:graphicData>
                        </a:graphic>
                      </wp:inline>
                    </w:drawing>
                  </w:r>
                </w:p>
              </w:tc>
              <w:tc>
                <w:tcPr>
                  <w:tcW w:w="4110" w:type="dxa"/>
                  <w:tcBorders>
                    <w:tl2br w:val="nil"/>
                    <w:tr2bl w:val="nil"/>
                  </w:tcBorders>
                </w:tcPr>
                <w:p>
                  <w:pPr>
                    <w:adjustRightInd w:val="0"/>
                    <w:snapToGrid w:val="0"/>
                    <w:jc w:val="center"/>
                    <w:rPr>
                      <w:b/>
                      <w:color w:val="auto"/>
                    </w:rPr>
                  </w:pPr>
                  <w:r>
                    <w:rPr>
                      <w:b/>
                      <w:color w:val="auto"/>
                    </w:rPr>
                    <w:drawing>
                      <wp:inline distT="0" distB="0" distL="114300" distR="114300">
                        <wp:extent cx="2352040" cy="1808480"/>
                        <wp:effectExtent l="0" t="0" r="10160" b="1270"/>
                        <wp:docPr id="86" name="图片 61" descr="IMG_20210524_10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1" descr="IMG_20210524_105120"/>
                                <pic:cNvPicPr>
                                  <a:picLocks noChangeAspect="1"/>
                                </pic:cNvPicPr>
                              </pic:nvPicPr>
                              <pic:blipFill>
                                <a:blip r:embed="rId14"/>
                                <a:stretch>
                                  <a:fillRect/>
                                </a:stretch>
                              </pic:blipFill>
                              <pic:spPr>
                                <a:xfrm>
                                  <a:off x="0" y="0"/>
                                  <a:ext cx="2352040" cy="1808480"/>
                                </a:xfrm>
                                <a:prstGeom prst="rect">
                                  <a:avLst/>
                                </a:prstGeom>
                                <a:noFill/>
                                <a:ln>
                                  <a:noFill/>
                                </a:ln>
                              </pic:spPr>
                            </pic:pic>
                          </a:graphicData>
                        </a:graphic>
                      </wp:inline>
                    </w:drawing>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CellMar>
                  <w:top w:w="0" w:type="dxa"/>
                  <w:left w:w="108" w:type="dxa"/>
                  <w:bottom w:w="0" w:type="dxa"/>
                  <w:right w:w="108" w:type="dxa"/>
                </w:tblCellMar>
              </w:tblPrEx>
              <w:trPr>
                <w:jc w:val="center"/>
              </w:trPr>
              <w:tc>
                <w:tcPr>
                  <w:tcW w:w="4110" w:type="dxa"/>
                  <w:tcBorders>
                    <w:tl2br w:val="nil"/>
                    <w:tr2bl w:val="nil"/>
                  </w:tcBorders>
                </w:tcPr>
                <w:p>
                  <w:pPr>
                    <w:adjustRightInd w:val="0"/>
                    <w:snapToGrid w:val="0"/>
                    <w:spacing w:line="360" w:lineRule="auto"/>
                    <w:ind w:firstLine="422" w:firstLineChars="200"/>
                    <w:jc w:val="center"/>
                    <w:rPr>
                      <w:b/>
                      <w:color w:val="auto"/>
                    </w:rPr>
                  </w:pPr>
                  <w:r>
                    <w:rPr>
                      <w:b/>
                      <w:color w:val="auto"/>
                    </w:rPr>
                    <w:t>已建5000m³Ⅱ类工业废物处理场</w:t>
                  </w:r>
                </w:p>
              </w:tc>
              <w:tc>
                <w:tcPr>
                  <w:tcW w:w="4110" w:type="dxa"/>
                  <w:tcBorders>
                    <w:tl2br w:val="nil"/>
                    <w:tr2bl w:val="nil"/>
                  </w:tcBorders>
                </w:tcPr>
                <w:p>
                  <w:pPr>
                    <w:adjustRightInd w:val="0"/>
                    <w:snapToGrid w:val="0"/>
                    <w:spacing w:line="360" w:lineRule="auto"/>
                    <w:jc w:val="center"/>
                    <w:rPr>
                      <w:b/>
                      <w:color w:val="auto"/>
                    </w:rPr>
                  </w:pPr>
                  <w:r>
                    <w:rPr>
                      <w:b/>
                      <w:color w:val="auto"/>
                    </w:rPr>
                    <w:t>范新庄水库泄洪洞现状</w:t>
                  </w:r>
                </w:p>
              </w:tc>
            </w:tr>
          </w:tbl>
          <w:p>
            <w:pPr>
              <w:pStyle w:val="2"/>
              <w:ind w:firstLine="0" w:firstLineChars="0"/>
              <w:jc w:val="center"/>
              <w:rPr>
                <w:color w:val="auto"/>
                <w:sz w:val="24"/>
                <w:szCs w:val="24"/>
              </w:rPr>
            </w:pPr>
            <w:r>
              <w:rPr>
                <w:rFonts w:hint="eastAsia"/>
                <w:color w:val="auto"/>
                <w:sz w:val="24"/>
                <w:szCs w:val="24"/>
              </w:rPr>
              <w:t>图2-</w:t>
            </w:r>
            <w:r>
              <w:rPr>
                <w:color w:val="auto"/>
                <w:sz w:val="24"/>
                <w:szCs w:val="24"/>
              </w:rPr>
              <w:t xml:space="preserve">2       </w:t>
            </w:r>
            <w:r>
              <w:rPr>
                <w:b/>
                <w:bCs/>
                <w:color w:val="auto"/>
                <w:sz w:val="24"/>
                <w:szCs w:val="24"/>
              </w:rPr>
              <w:t xml:space="preserve"> </w:t>
            </w:r>
            <w:r>
              <w:rPr>
                <w:rFonts w:hint="eastAsia"/>
                <w:b/>
                <w:bCs/>
                <w:color w:val="auto"/>
                <w:sz w:val="24"/>
                <w:szCs w:val="24"/>
              </w:rPr>
              <w:t>现状工程现场</w:t>
            </w:r>
          </w:p>
          <w:p>
            <w:pPr>
              <w:adjustRightInd w:val="0"/>
              <w:snapToGrid w:val="0"/>
              <w:spacing w:line="360" w:lineRule="auto"/>
              <w:ind w:firstLine="482" w:firstLineChars="200"/>
              <w:jc w:val="left"/>
              <w:rPr>
                <w:b/>
                <w:color w:val="auto"/>
                <w:kern w:val="0"/>
                <w:sz w:val="24"/>
                <w:lang w:bidi="ar"/>
              </w:rPr>
            </w:pPr>
            <w:r>
              <w:rPr>
                <w:rFonts w:hint="eastAsia"/>
                <w:b/>
                <w:color w:val="auto"/>
                <w:kern w:val="0"/>
                <w:sz w:val="24"/>
                <w:lang w:bidi="ar"/>
              </w:rPr>
              <w:t>5、沟道现有环境问题</w:t>
            </w:r>
          </w:p>
          <w:p>
            <w:pPr>
              <w:pStyle w:val="41"/>
              <w:widowControl w:val="0"/>
              <w:ind w:firstLine="480"/>
              <w:rPr>
                <w:color w:val="auto"/>
              </w:rPr>
            </w:pPr>
            <w:r>
              <w:rPr>
                <w:rFonts w:hint="eastAsia"/>
                <w:color w:val="auto"/>
              </w:rPr>
              <w:t>①现有涵管不满足排洪要求，暴雨条件下环境风险大</w:t>
            </w:r>
          </w:p>
          <w:p>
            <w:pPr>
              <w:pStyle w:val="41"/>
              <w:ind w:firstLine="480"/>
              <w:rPr>
                <w:color w:val="auto"/>
              </w:rPr>
            </w:pPr>
            <w:r>
              <w:rPr>
                <w:rFonts w:hint="eastAsia"/>
                <w:color w:val="auto"/>
              </w:rPr>
              <w:t>经复核，矸石场底部敷设的两道DN1500镀锌波纹管最大过流能力为23.08m</w:t>
            </w:r>
            <w:r>
              <w:rPr>
                <w:rFonts w:hint="eastAsia"/>
                <w:color w:val="auto"/>
                <w:vertAlign w:val="superscript"/>
              </w:rPr>
              <w:t>3</w:t>
            </w:r>
            <w:r>
              <w:rPr>
                <w:rFonts w:hint="eastAsia"/>
                <w:color w:val="auto"/>
              </w:rPr>
              <w:t>/s，项目区现状条件下，范新庄水库300年洪水最大下泄量为23.7m</w:t>
            </w:r>
            <w:r>
              <w:rPr>
                <w:rFonts w:hint="eastAsia"/>
                <w:color w:val="auto"/>
                <w:vertAlign w:val="superscript"/>
              </w:rPr>
              <w:t>3</w:t>
            </w:r>
            <w:r>
              <w:rPr>
                <w:rFonts w:hint="eastAsia"/>
                <w:color w:val="auto"/>
              </w:rPr>
              <w:t>/s，两道涵管总过流能力不能满足范新庄水库泄洪。范新庄水库标准洪水下泄后，会在矸石场涵洞前积水，不利于范新庄水库坝体、矸石场拦渣坝、二矿进场道路路基的稳定；不利于范新庄水库至矸石场区间河势稳定，在暴雨条件下易形成堰塞湖，进而发生次生环境风险事故，影响区域环境安全。</w:t>
            </w:r>
          </w:p>
          <w:p>
            <w:pPr>
              <w:pStyle w:val="41"/>
              <w:widowControl w:val="0"/>
              <w:ind w:firstLine="480"/>
              <w:rPr>
                <w:color w:val="auto"/>
              </w:rPr>
            </w:pPr>
            <w:r>
              <w:rPr>
                <w:rFonts w:hint="eastAsia"/>
                <w:color w:val="auto"/>
              </w:rPr>
              <w:t>②采用涵管排水不易维护，发生排洪不畅的可能性大</w:t>
            </w:r>
          </w:p>
          <w:p>
            <w:pPr>
              <w:pStyle w:val="41"/>
              <w:widowControl w:val="0"/>
              <w:ind w:firstLine="480"/>
              <w:rPr>
                <w:color w:val="auto"/>
              </w:rPr>
            </w:pPr>
            <w:r>
              <w:rPr>
                <w:rFonts w:hint="eastAsia"/>
                <w:color w:val="auto"/>
              </w:rPr>
              <w:t>矸石场底部2道涵洞在流水长期浸润及地基不稳定性的影响，涵管出现变形、破损后不易维修，不利于行洪及矿井水向下游排放。</w:t>
            </w:r>
          </w:p>
          <w:p>
            <w:pPr>
              <w:pStyle w:val="41"/>
              <w:widowControl w:val="0"/>
              <w:ind w:firstLine="480"/>
              <w:rPr>
                <w:color w:val="auto"/>
              </w:rPr>
            </w:pPr>
            <w:r>
              <w:rPr>
                <w:rFonts w:hint="eastAsia"/>
                <w:color w:val="auto"/>
              </w:rPr>
              <w:t>③岸坡治理工程阻塞河道行洪后易产生环境风险</w:t>
            </w:r>
          </w:p>
          <w:p>
            <w:pPr>
              <w:pStyle w:val="41"/>
              <w:widowControl w:val="0"/>
              <w:ind w:firstLine="480"/>
              <w:rPr>
                <w:color w:val="auto"/>
              </w:rPr>
            </w:pPr>
            <w:r>
              <w:rPr>
                <w:rFonts w:hint="eastAsia"/>
                <w:color w:val="auto"/>
              </w:rPr>
              <w:t>岸坡治理工程均位于王洼沟</w:t>
            </w:r>
            <w:r>
              <w:rPr>
                <w:color w:val="auto"/>
              </w:rPr>
              <w:t>沟道</w:t>
            </w:r>
            <w:r>
              <w:rPr>
                <w:rFonts w:hint="eastAsia"/>
                <w:color w:val="auto"/>
              </w:rPr>
              <w:t>内，岸坡治理工程本身影响沟道行洪，暴雨条件下，王洼沟易在范新庄水库及矸石场之间形成</w:t>
            </w:r>
            <w:r>
              <w:rPr>
                <w:color w:val="auto"/>
              </w:rPr>
              <w:t>堰塞湖，进而发生</w:t>
            </w:r>
            <w:r>
              <w:rPr>
                <w:rFonts w:hint="eastAsia"/>
                <w:color w:val="auto"/>
              </w:rPr>
              <w:t>矸石场溃坝等</w:t>
            </w:r>
            <w:r>
              <w:rPr>
                <w:color w:val="auto"/>
              </w:rPr>
              <w:t>次生环境事故</w:t>
            </w:r>
            <w:r>
              <w:rPr>
                <w:rFonts w:hint="eastAsia"/>
                <w:color w:val="auto"/>
              </w:rPr>
              <w:t>。</w:t>
            </w:r>
          </w:p>
          <w:p>
            <w:pPr>
              <w:pStyle w:val="41"/>
              <w:widowControl w:val="0"/>
              <w:ind w:firstLine="480"/>
              <w:rPr>
                <w:color w:val="auto"/>
              </w:rPr>
            </w:pPr>
            <w:r>
              <w:rPr>
                <w:rFonts w:hint="eastAsia" w:ascii="宋体" w:hAnsi="宋体"/>
                <w:color w:val="auto"/>
              </w:rPr>
              <w:t>④</w:t>
            </w:r>
            <w:r>
              <w:rPr>
                <w:rFonts w:hint="eastAsia"/>
                <w:color w:val="auto"/>
              </w:rPr>
              <w:t>矸石场顶部II类固废暂存场无截排水设施，长期浸润易发生环境污染事件</w:t>
            </w:r>
          </w:p>
          <w:p>
            <w:pPr>
              <w:pStyle w:val="41"/>
              <w:widowControl w:val="0"/>
              <w:ind w:firstLine="480"/>
              <w:rPr>
                <w:color w:val="auto"/>
              </w:rPr>
            </w:pPr>
            <w:r>
              <w:rPr>
                <w:rFonts w:hint="eastAsia"/>
                <w:color w:val="auto"/>
              </w:rPr>
              <w:t>王洼二矿矸石场顶部无排洪设施，Ⅰ类一般工业固体废弃物在被水充分浸泡的情况下，浸出液体可能通过渗透或补给方式污染地下水环境；现有II类一般工业固体废物处置场虽已采用防渗处理，但处置场四周未采取截洪措施，可能会受水浸润而形成渗滤液，进而污染地表水及地下水。</w:t>
            </w:r>
          </w:p>
          <w:p>
            <w:pPr>
              <w:adjustRightInd w:val="0"/>
              <w:snapToGrid w:val="0"/>
              <w:spacing w:line="360" w:lineRule="auto"/>
              <w:jc w:val="left"/>
              <w:rPr>
                <w:b/>
                <w:color w:val="auto"/>
                <w:kern w:val="0"/>
                <w:sz w:val="24"/>
                <w:lang w:bidi="ar"/>
              </w:rPr>
            </w:pPr>
            <w:r>
              <w:rPr>
                <w:rFonts w:ascii="宋体" w:hAnsi="宋体" w:cs="宋体"/>
                <w:b/>
                <w:bCs/>
                <w:color w:val="auto"/>
                <w:kern w:val="0"/>
                <w:sz w:val="24"/>
              </w:rPr>
              <w:t>2.2.2</w:t>
            </w:r>
            <w:r>
              <w:rPr>
                <w:rFonts w:hint="eastAsia"/>
                <w:b/>
                <w:color w:val="auto"/>
                <w:kern w:val="0"/>
                <w:sz w:val="24"/>
                <w:lang w:bidi="ar"/>
              </w:rPr>
              <w:t>工程规模</w:t>
            </w:r>
          </w:p>
          <w:p>
            <w:pPr>
              <w:adjustRightInd w:val="0"/>
              <w:snapToGrid w:val="0"/>
              <w:spacing w:line="360" w:lineRule="auto"/>
              <w:ind w:firstLine="480" w:firstLineChars="200"/>
              <w:jc w:val="left"/>
              <w:rPr>
                <w:bCs/>
                <w:color w:val="auto"/>
                <w:kern w:val="0"/>
                <w:sz w:val="24"/>
                <w:lang w:bidi="ar"/>
              </w:rPr>
            </w:pPr>
            <w:r>
              <w:rPr>
                <w:rFonts w:hint="eastAsia"/>
                <w:bCs/>
                <w:color w:val="auto"/>
                <w:kern w:val="0"/>
                <w:sz w:val="24"/>
                <w:lang w:bidi="ar"/>
              </w:rPr>
              <w:t>根据设计资料，本次工程内容包括对范新庄水库原泄洪洞进行封堵处理，在水库左坝肩新建设</w:t>
            </w:r>
            <w:r>
              <w:rPr>
                <w:bCs/>
                <w:color w:val="auto"/>
                <w:kern w:val="0"/>
                <w:sz w:val="24"/>
                <w:lang w:bidi="ar"/>
              </w:rPr>
              <w:t>2</w:t>
            </w:r>
            <w:r>
              <w:rPr>
                <w:rFonts w:hint="eastAsia"/>
                <w:bCs/>
                <w:color w:val="auto"/>
                <w:kern w:val="0"/>
                <w:sz w:val="24"/>
                <w:lang w:bidi="ar"/>
              </w:rPr>
              <w:t>孔矩形泄洪洞1座，后接</w:t>
            </w:r>
            <w:r>
              <w:rPr>
                <w:bCs/>
                <w:color w:val="auto"/>
                <w:kern w:val="0"/>
                <w:sz w:val="24"/>
                <w:lang w:bidi="ar"/>
              </w:rPr>
              <w:t>项目区</w:t>
            </w:r>
            <w:r>
              <w:rPr>
                <w:rFonts w:hint="eastAsia"/>
                <w:bCs/>
                <w:color w:val="auto"/>
                <w:kern w:val="0"/>
                <w:sz w:val="24"/>
                <w:lang w:bidi="ar"/>
              </w:rPr>
              <w:t>排洪渠，排洪渠水平长</w:t>
            </w:r>
            <w:r>
              <w:rPr>
                <w:bCs/>
                <w:color w:val="auto"/>
                <w:kern w:val="0"/>
                <w:sz w:val="24"/>
                <w:lang w:bidi="ar"/>
              </w:rPr>
              <w:t>1690.5m</w:t>
            </w:r>
            <w:r>
              <w:rPr>
                <w:rFonts w:hint="eastAsia"/>
                <w:bCs/>
                <w:color w:val="auto"/>
                <w:kern w:val="0"/>
                <w:sz w:val="24"/>
                <w:lang w:bidi="ar"/>
              </w:rPr>
              <w:t>，由一级明渠、过路涵洞、二级明渠、陡坡、消力池及海漫组成；对矸石场上0.5万m</w:t>
            </w:r>
            <w:r>
              <w:rPr>
                <w:rFonts w:hint="eastAsia"/>
                <w:bCs/>
                <w:color w:val="auto"/>
                <w:kern w:val="0"/>
                <w:sz w:val="24"/>
                <w:vertAlign w:val="superscript"/>
                <w:lang w:bidi="ar"/>
              </w:rPr>
              <w:t>3</w:t>
            </w:r>
            <w:r>
              <w:rPr>
                <w:bCs/>
                <w:color w:val="auto"/>
                <w:kern w:val="0"/>
                <w:sz w:val="24"/>
                <w:lang w:bidi="ar"/>
              </w:rPr>
              <w:t>II类一般工业固体废物处置</w:t>
            </w:r>
            <w:r>
              <w:rPr>
                <w:rFonts w:hint="eastAsia"/>
                <w:bCs/>
                <w:color w:val="auto"/>
                <w:kern w:val="0"/>
                <w:sz w:val="24"/>
                <w:lang w:bidi="ar"/>
              </w:rPr>
              <w:t>场四周设置截洪渠，将水截留进入拟建主排洪渠排至下游沟道；在矸石场上游及拦渣坝下游沟道各设1处监测井，对地下水水质进行跟踪监测；矸石场表层沿排洪渠方向进行带坡平整，平整后复垦种植苜蓿，播种面积</w:t>
            </w:r>
            <w:r>
              <w:rPr>
                <w:bCs/>
                <w:color w:val="auto"/>
                <w:kern w:val="0"/>
                <w:sz w:val="24"/>
                <w:lang w:bidi="ar"/>
              </w:rPr>
              <w:t>2.5hm</w:t>
            </w:r>
            <w:r>
              <w:rPr>
                <w:bCs/>
                <w:color w:val="auto"/>
                <w:kern w:val="0"/>
                <w:sz w:val="24"/>
                <w:vertAlign w:val="superscript"/>
                <w:lang w:bidi="ar"/>
              </w:rPr>
              <w:t>2</w:t>
            </w:r>
            <w:r>
              <w:rPr>
                <w:rFonts w:hint="eastAsia"/>
                <w:bCs/>
                <w:color w:val="auto"/>
                <w:kern w:val="0"/>
                <w:sz w:val="24"/>
                <w:lang w:bidi="ar"/>
              </w:rPr>
              <w:t>。</w:t>
            </w:r>
          </w:p>
          <w:p>
            <w:pPr>
              <w:adjustRightInd w:val="0"/>
              <w:snapToGrid w:val="0"/>
              <w:spacing w:line="360" w:lineRule="auto"/>
              <w:jc w:val="left"/>
              <w:rPr>
                <w:b/>
                <w:bCs/>
                <w:color w:val="auto"/>
                <w:kern w:val="0"/>
                <w:sz w:val="24"/>
              </w:rPr>
            </w:pPr>
            <w:r>
              <w:rPr>
                <w:b/>
                <w:bCs/>
                <w:color w:val="auto"/>
                <w:kern w:val="0"/>
                <w:sz w:val="24"/>
              </w:rPr>
              <w:t>2.2.3项目组成</w:t>
            </w:r>
          </w:p>
          <w:p>
            <w:pPr>
              <w:adjustRightInd w:val="0"/>
              <w:snapToGrid w:val="0"/>
              <w:spacing w:line="360" w:lineRule="auto"/>
              <w:ind w:firstLine="480" w:firstLineChars="200"/>
              <w:jc w:val="left"/>
              <w:rPr>
                <w:bCs/>
                <w:color w:val="auto"/>
                <w:kern w:val="0"/>
                <w:sz w:val="24"/>
                <w:lang w:bidi="ar"/>
              </w:rPr>
            </w:pPr>
            <w:r>
              <w:rPr>
                <w:rFonts w:hint="eastAsia"/>
                <w:bCs/>
                <w:color w:val="auto"/>
                <w:kern w:val="0"/>
                <w:sz w:val="24"/>
                <w:lang w:bidi="ar"/>
              </w:rPr>
              <w:t>本项目主要对矸石场、岸坡治理工程、</w:t>
            </w:r>
            <w:r>
              <w:rPr>
                <w:bCs/>
                <w:color w:val="auto"/>
                <w:kern w:val="0"/>
                <w:sz w:val="24"/>
                <w:lang w:bidi="ar"/>
              </w:rPr>
              <w:t>II类一般工业固体废物处置</w:t>
            </w:r>
            <w:r>
              <w:rPr>
                <w:rFonts w:hint="eastAsia"/>
                <w:bCs/>
                <w:color w:val="auto"/>
                <w:kern w:val="0"/>
                <w:sz w:val="24"/>
                <w:lang w:bidi="ar"/>
              </w:rPr>
              <w:t>场等排洪设施不满足排洪要求问题开展治理，对王洼沟排洪设施进行改造，新建排洪渠、截洪渠、监测井、相关工程及配套设施</w:t>
            </w:r>
            <w:r>
              <w:rPr>
                <w:bCs/>
                <w:color w:val="auto"/>
                <w:kern w:val="0"/>
                <w:sz w:val="24"/>
                <w:lang w:bidi="ar"/>
              </w:rPr>
              <w:t>等。项目组成情况具体见表2-1。</w:t>
            </w:r>
          </w:p>
          <w:p>
            <w:pPr>
              <w:adjustRightInd w:val="0"/>
              <w:snapToGrid w:val="0"/>
              <w:spacing w:before="48" w:beforeLines="20"/>
              <w:ind w:firstLine="964" w:firstLineChars="400"/>
              <w:rPr>
                <w:b/>
                <w:color w:val="auto"/>
                <w:sz w:val="24"/>
                <w:szCs w:val="22"/>
              </w:rPr>
            </w:pPr>
            <w:r>
              <w:rPr>
                <w:b/>
                <w:color w:val="auto"/>
                <w:sz w:val="24"/>
                <w:szCs w:val="22"/>
              </w:rPr>
              <w:t xml:space="preserve">表2-1        </w:t>
            </w:r>
            <w:r>
              <w:rPr>
                <w:rFonts w:hint="eastAsia"/>
                <w:b/>
                <w:color w:val="auto"/>
                <w:sz w:val="24"/>
                <w:szCs w:val="22"/>
              </w:rPr>
              <w:t xml:space="preserve">      </w:t>
            </w:r>
            <w:r>
              <w:rPr>
                <w:b/>
                <w:color w:val="auto"/>
                <w:sz w:val="24"/>
                <w:szCs w:val="22"/>
              </w:rPr>
              <w:t>项目主要建设内容一览表</w:t>
            </w:r>
          </w:p>
          <w:tbl>
            <w:tblPr>
              <w:tblStyle w:val="19"/>
              <w:tblW w:w="497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570"/>
              <w:gridCol w:w="174"/>
              <w:gridCol w:w="870"/>
              <w:gridCol w:w="60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1" w:type="pct"/>
                  <w:tcBorders>
                    <w:tl2br w:val="nil"/>
                    <w:tr2bl w:val="nil"/>
                  </w:tcBorders>
                  <w:vAlign w:val="center"/>
                </w:tcPr>
                <w:p>
                  <w:pPr>
                    <w:adjustRightInd w:val="0"/>
                    <w:snapToGrid w:val="0"/>
                    <w:jc w:val="center"/>
                    <w:rPr>
                      <w:b/>
                      <w:color w:val="auto"/>
                      <w:szCs w:val="22"/>
                    </w:rPr>
                  </w:pPr>
                  <w:r>
                    <w:rPr>
                      <w:b/>
                      <w:color w:val="auto"/>
                      <w:szCs w:val="22"/>
                    </w:rPr>
                    <w:t>类别</w:t>
                  </w:r>
                </w:p>
              </w:tc>
              <w:tc>
                <w:tcPr>
                  <w:tcW w:w="972" w:type="pct"/>
                  <w:gridSpan w:val="3"/>
                  <w:tcBorders>
                    <w:tl2br w:val="nil"/>
                    <w:tr2bl w:val="nil"/>
                  </w:tcBorders>
                  <w:vAlign w:val="center"/>
                </w:tcPr>
                <w:p>
                  <w:pPr>
                    <w:adjustRightInd w:val="0"/>
                    <w:snapToGrid w:val="0"/>
                    <w:jc w:val="center"/>
                    <w:rPr>
                      <w:b/>
                      <w:color w:val="auto"/>
                      <w:szCs w:val="22"/>
                    </w:rPr>
                  </w:pPr>
                  <w:r>
                    <w:rPr>
                      <w:b/>
                      <w:color w:val="auto"/>
                      <w:szCs w:val="22"/>
                    </w:rPr>
                    <w:t>项目名称</w:t>
                  </w:r>
                </w:p>
              </w:tc>
              <w:tc>
                <w:tcPr>
                  <w:tcW w:w="3617" w:type="pct"/>
                  <w:tcBorders>
                    <w:tl2br w:val="nil"/>
                    <w:tr2bl w:val="nil"/>
                  </w:tcBorders>
                  <w:vAlign w:val="center"/>
                </w:tcPr>
                <w:p>
                  <w:pPr>
                    <w:adjustRightInd w:val="0"/>
                    <w:snapToGrid w:val="0"/>
                    <w:jc w:val="center"/>
                    <w:rPr>
                      <w:b/>
                      <w:color w:val="auto"/>
                      <w:szCs w:val="22"/>
                    </w:rPr>
                  </w:pPr>
                  <w:r>
                    <w:rPr>
                      <w:b/>
                      <w:color w:val="auto"/>
                      <w:szCs w:val="22"/>
                    </w:rPr>
                    <w:t>主要建设内容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restart"/>
                  <w:tcBorders>
                    <w:tl2br w:val="nil"/>
                    <w:tr2bl w:val="nil"/>
                  </w:tcBorders>
                  <w:vAlign w:val="center"/>
                </w:tcPr>
                <w:p>
                  <w:pPr>
                    <w:adjustRightInd w:val="0"/>
                    <w:snapToGrid w:val="0"/>
                    <w:jc w:val="center"/>
                    <w:rPr>
                      <w:b/>
                      <w:color w:val="auto"/>
                      <w:szCs w:val="22"/>
                    </w:rPr>
                  </w:pPr>
                  <w:r>
                    <w:rPr>
                      <w:b/>
                      <w:color w:val="auto"/>
                      <w:szCs w:val="22"/>
                    </w:rPr>
                    <w:t>主体</w:t>
                  </w:r>
                </w:p>
                <w:p>
                  <w:pPr>
                    <w:adjustRightInd w:val="0"/>
                    <w:snapToGrid w:val="0"/>
                    <w:jc w:val="center"/>
                    <w:rPr>
                      <w:color w:val="auto"/>
                      <w:szCs w:val="22"/>
                    </w:rPr>
                  </w:pPr>
                  <w:r>
                    <w:rPr>
                      <w:b/>
                      <w:color w:val="auto"/>
                      <w:szCs w:val="22"/>
                    </w:rPr>
                    <w:t>工程</w:t>
                  </w:r>
                </w:p>
              </w:tc>
              <w:tc>
                <w:tcPr>
                  <w:tcW w:w="448" w:type="pct"/>
                  <w:gridSpan w:val="2"/>
                  <w:vMerge w:val="restart"/>
                  <w:tcBorders>
                    <w:tl2br w:val="nil"/>
                    <w:tr2bl w:val="nil"/>
                  </w:tcBorders>
                  <w:vAlign w:val="center"/>
                </w:tcPr>
                <w:p>
                  <w:pPr>
                    <w:adjustRightInd w:val="0"/>
                    <w:snapToGrid w:val="0"/>
                    <w:jc w:val="center"/>
                    <w:rPr>
                      <w:color w:val="auto"/>
                      <w:szCs w:val="22"/>
                    </w:rPr>
                  </w:pPr>
                  <w:r>
                    <w:rPr>
                      <w:rFonts w:hint="eastAsia"/>
                      <w:color w:val="auto"/>
                      <w:szCs w:val="22"/>
                    </w:rPr>
                    <w:t>防洪排水设施</w:t>
                  </w:r>
                </w:p>
              </w:tc>
              <w:tc>
                <w:tcPr>
                  <w:tcW w:w="524" w:type="pct"/>
                  <w:tcBorders>
                    <w:tl2br w:val="nil"/>
                    <w:tr2bl w:val="nil"/>
                  </w:tcBorders>
                  <w:vAlign w:val="center"/>
                </w:tcPr>
                <w:p>
                  <w:pPr>
                    <w:adjustRightInd w:val="0"/>
                    <w:snapToGrid w:val="0"/>
                    <w:jc w:val="center"/>
                    <w:rPr>
                      <w:color w:val="auto"/>
                      <w:szCs w:val="22"/>
                    </w:rPr>
                  </w:pPr>
                  <w:r>
                    <w:rPr>
                      <w:rFonts w:hint="eastAsia"/>
                      <w:color w:val="auto"/>
                      <w:szCs w:val="22"/>
                    </w:rPr>
                    <w:t>原泄洪洞封堵</w:t>
                  </w:r>
                </w:p>
              </w:tc>
              <w:tc>
                <w:tcPr>
                  <w:tcW w:w="3617" w:type="pct"/>
                  <w:tcBorders>
                    <w:tl2br w:val="nil"/>
                    <w:tr2bl w:val="nil"/>
                  </w:tcBorders>
                  <w:vAlign w:val="center"/>
                </w:tcPr>
                <w:p>
                  <w:pPr>
                    <w:pStyle w:val="35"/>
                    <w:spacing w:before="24" w:after="24"/>
                    <w:ind w:left="0" w:leftChars="0" w:firstLine="210" w:firstLineChars="100"/>
                    <w:jc w:val="both"/>
                    <w:rPr>
                      <w:color w:val="auto"/>
                    </w:rPr>
                  </w:pPr>
                  <w:r>
                    <w:rPr>
                      <w:rFonts w:hint="eastAsia" w:ascii="Times New Roman"/>
                      <w:color w:val="auto"/>
                      <w:szCs w:val="22"/>
                    </w:rPr>
                    <w:t>本次设计拟对范新庄水库原泄洪洞进行封堵处理，采用两侧封堵、中间灌浆方式。</w:t>
                  </w:r>
                  <w:r>
                    <w:rPr>
                      <w:rFonts w:hint="eastAsia"/>
                      <w:color w:val="auto"/>
                    </w:rPr>
                    <w:t>泄洪洞前后两端用C</w:t>
                  </w:r>
                  <w:r>
                    <w:rPr>
                      <w:color w:val="auto"/>
                    </w:rPr>
                    <w:t>25</w:t>
                  </w:r>
                  <w:r>
                    <w:rPr>
                      <w:rFonts w:hint="eastAsia"/>
                      <w:color w:val="auto"/>
                    </w:rPr>
                    <w:t>混凝土封堵，堵头尺寸为</w:t>
                  </w:r>
                  <w:r>
                    <w:rPr>
                      <w:color w:val="auto"/>
                    </w:rPr>
                    <w:t>1.7</w:t>
                  </w:r>
                  <w:r>
                    <w:rPr>
                      <w:rFonts w:hint="eastAsia"/>
                      <w:color w:val="auto"/>
                    </w:rPr>
                    <w:t>×</w:t>
                  </w:r>
                  <w:r>
                    <w:rPr>
                      <w:color w:val="auto"/>
                    </w:rPr>
                    <w:t>2.5</w:t>
                  </w:r>
                  <w:r>
                    <w:rPr>
                      <w:rFonts w:hint="eastAsia"/>
                      <w:color w:val="auto"/>
                    </w:rPr>
                    <w:t>×</w:t>
                  </w:r>
                  <w:r>
                    <w:rPr>
                      <w:color w:val="auto"/>
                    </w:rPr>
                    <w:t>2.0m</w:t>
                  </w:r>
                  <w:r>
                    <w:rPr>
                      <w:rFonts w:hint="eastAsia"/>
                      <w:color w:val="auto"/>
                    </w:rPr>
                    <w:t>，堵头截面上端预留三根灌浆管和一根排气管，堵头截面下端预留两根排水管，均为</w:t>
                  </w:r>
                  <w:r>
                    <w:rPr>
                      <w:color w:val="auto"/>
                    </w:rPr>
                    <w:t>110pvc</w:t>
                  </w:r>
                  <w:r>
                    <w:rPr>
                      <w:rFonts w:hint="eastAsia"/>
                      <w:color w:val="auto"/>
                    </w:rPr>
                    <w:t>管，每根管长</w:t>
                  </w:r>
                  <w:r>
                    <w:rPr>
                      <w:color w:val="auto"/>
                    </w:rPr>
                    <w:t>4m</w:t>
                  </w:r>
                  <w:r>
                    <w:rPr>
                      <w:rFonts w:hint="eastAsia"/>
                      <w:color w:val="auto"/>
                    </w:rPr>
                    <w:t>，泄洪洞中间采用充填灌浆方式封堵</w:t>
                  </w:r>
                  <w:r>
                    <w:rPr>
                      <w:rFonts w:hint="eastAsia" w:ascii="Times New Roman"/>
                      <w:color w:val="auto"/>
                      <w:szCs w:val="22"/>
                    </w:rPr>
                    <w:t>，</w:t>
                  </w:r>
                  <w:r>
                    <w:rPr>
                      <w:rFonts w:hint="eastAsia"/>
                      <w:color w:val="auto"/>
                    </w:rPr>
                    <w:t>封堵材料为水泥砂浆（参彭润土）。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448" w:type="pct"/>
                  <w:gridSpan w:val="2"/>
                  <w:vMerge w:val="continue"/>
                  <w:tcBorders>
                    <w:tl2br w:val="nil"/>
                    <w:tr2bl w:val="nil"/>
                  </w:tcBorders>
                  <w:vAlign w:val="center"/>
                </w:tcPr>
                <w:p>
                  <w:pPr>
                    <w:adjustRightInd w:val="0"/>
                    <w:snapToGrid w:val="0"/>
                    <w:jc w:val="center"/>
                    <w:rPr>
                      <w:color w:val="auto"/>
                      <w:szCs w:val="22"/>
                    </w:rPr>
                  </w:pPr>
                </w:p>
              </w:tc>
              <w:tc>
                <w:tcPr>
                  <w:tcW w:w="524" w:type="pct"/>
                  <w:tcBorders>
                    <w:tl2br w:val="nil"/>
                    <w:tr2bl w:val="nil"/>
                  </w:tcBorders>
                  <w:vAlign w:val="center"/>
                </w:tcPr>
                <w:p>
                  <w:pPr>
                    <w:adjustRightInd w:val="0"/>
                    <w:snapToGrid w:val="0"/>
                    <w:jc w:val="center"/>
                    <w:rPr>
                      <w:color w:val="auto"/>
                      <w:szCs w:val="22"/>
                    </w:rPr>
                  </w:pPr>
                  <w:r>
                    <w:rPr>
                      <w:rFonts w:hint="eastAsia"/>
                      <w:color w:val="auto"/>
                      <w:szCs w:val="22"/>
                    </w:rPr>
                    <w:t>泄洪洞进口段</w:t>
                  </w:r>
                </w:p>
              </w:tc>
              <w:tc>
                <w:tcPr>
                  <w:tcW w:w="3617" w:type="pct"/>
                  <w:tcBorders>
                    <w:tl2br w:val="nil"/>
                    <w:tr2bl w:val="nil"/>
                  </w:tcBorders>
                  <w:vAlign w:val="center"/>
                </w:tcPr>
                <w:p>
                  <w:pPr>
                    <w:pStyle w:val="35"/>
                    <w:spacing w:before="24" w:after="24"/>
                    <w:ind w:left="0" w:leftChars="0" w:firstLine="210" w:firstLineChars="100"/>
                    <w:jc w:val="both"/>
                    <w:rPr>
                      <w:rFonts w:ascii="Times New Roman"/>
                      <w:color w:val="auto"/>
                      <w:szCs w:val="22"/>
                    </w:rPr>
                  </w:pPr>
                  <w:r>
                    <w:rPr>
                      <w:rFonts w:hint="eastAsia"/>
                      <w:color w:val="auto"/>
                      <w:szCs w:val="22"/>
                    </w:rPr>
                    <w:t>在水库左坝肩新建泄洪洞，洪洞前设置进口段，根据实际地形布设成八字墙钢筋砼挡土形式，顺水流方向长8m，进口宽6.49m，收缩角9°</w:t>
                  </w:r>
                  <w:r>
                    <w:rPr>
                      <w:rFonts w:hint="eastAsia"/>
                      <w:bCs/>
                      <w:color w:val="auto"/>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448" w:type="pct"/>
                  <w:gridSpan w:val="2"/>
                  <w:vMerge w:val="continue"/>
                  <w:tcBorders>
                    <w:tl2br w:val="nil"/>
                    <w:tr2bl w:val="nil"/>
                  </w:tcBorders>
                  <w:vAlign w:val="center"/>
                </w:tcPr>
                <w:p>
                  <w:pPr>
                    <w:adjustRightInd w:val="0"/>
                    <w:snapToGrid w:val="0"/>
                    <w:jc w:val="center"/>
                    <w:rPr>
                      <w:color w:val="auto"/>
                      <w:szCs w:val="22"/>
                    </w:rPr>
                  </w:pPr>
                </w:p>
              </w:tc>
              <w:tc>
                <w:tcPr>
                  <w:tcW w:w="524" w:type="pct"/>
                  <w:tcBorders>
                    <w:tl2br w:val="nil"/>
                    <w:tr2bl w:val="nil"/>
                  </w:tcBorders>
                  <w:vAlign w:val="center"/>
                </w:tcPr>
                <w:p>
                  <w:pPr>
                    <w:adjustRightInd w:val="0"/>
                    <w:snapToGrid w:val="0"/>
                    <w:jc w:val="center"/>
                    <w:rPr>
                      <w:color w:val="auto"/>
                      <w:szCs w:val="22"/>
                    </w:rPr>
                  </w:pPr>
                  <w:r>
                    <w:rPr>
                      <w:rFonts w:hint="eastAsia"/>
                      <w:color w:val="auto"/>
                      <w:szCs w:val="22"/>
                    </w:rPr>
                    <w:t>泄洪洞</w:t>
                  </w:r>
                </w:p>
              </w:tc>
              <w:tc>
                <w:tcPr>
                  <w:tcW w:w="3617" w:type="pct"/>
                  <w:tcBorders>
                    <w:tl2br w:val="nil"/>
                    <w:tr2bl w:val="nil"/>
                  </w:tcBorders>
                  <w:vAlign w:val="center"/>
                </w:tcPr>
                <w:p>
                  <w:pPr>
                    <w:pStyle w:val="41"/>
                    <w:widowControl w:val="0"/>
                    <w:spacing w:line="288" w:lineRule="auto"/>
                    <w:ind w:firstLine="210" w:firstLineChars="100"/>
                    <w:rPr>
                      <w:color w:val="auto"/>
                      <w:szCs w:val="22"/>
                    </w:rPr>
                  </w:pPr>
                  <w:r>
                    <w:rPr>
                      <w:rFonts w:hint="eastAsia"/>
                      <w:bCs w:val="0"/>
                      <w:color w:val="auto"/>
                      <w:sz w:val="21"/>
                      <w:szCs w:val="22"/>
                    </w:rPr>
                    <w:t>本次设计封堵范新庄水库右坝肩泄洪洞，在水库左坝肩同底板高程新建矩形双孔泄洪洞1座。泄洪洞采用</w:t>
                  </w:r>
                  <w:r>
                    <w:rPr>
                      <w:bCs w:val="0"/>
                      <w:color w:val="auto"/>
                      <w:sz w:val="21"/>
                      <w:szCs w:val="22"/>
                    </w:rPr>
                    <w:t>C30</w:t>
                  </w:r>
                  <w:r>
                    <w:rPr>
                      <w:rFonts w:hint="eastAsia"/>
                      <w:bCs w:val="0"/>
                      <w:color w:val="auto"/>
                      <w:sz w:val="21"/>
                      <w:szCs w:val="22"/>
                    </w:rPr>
                    <w:t>钢筋砼矩形结构，</w:t>
                  </w:r>
                  <w:r>
                    <w:rPr>
                      <w:rFonts w:hint="eastAsia"/>
                      <w:bCs w:val="0"/>
                      <w:color w:val="auto"/>
                      <w:sz w:val="21"/>
                      <w:szCs w:val="22"/>
                      <w:lang w:val="eu-ES"/>
                    </w:rPr>
                    <w:t>进口底板高程</w:t>
                  </w:r>
                  <w:r>
                    <w:rPr>
                      <w:bCs w:val="0"/>
                      <w:color w:val="auto"/>
                      <w:sz w:val="21"/>
                      <w:szCs w:val="22"/>
                    </w:rPr>
                    <w:t>1707.97m</w:t>
                  </w:r>
                  <w:r>
                    <w:rPr>
                      <w:rFonts w:hint="eastAsia"/>
                      <w:bCs w:val="0"/>
                      <w:color w:val="auto"/>
                      <w:sz w:val="21"/>
                      <w:szCs w:val="22"/>
                      <w:lang w:val="eu-ES"/>
                    </w:rPr>
                    <w:t>，</w:t>
                  </w:r>
                  <w:r>
                    <w:rPr>
                      <w:rFonts w:hint="eastAsia"/>
                      <w:bCs w:val="0"/>
                      <w:color w:val="auto"/>
                      <w:sz w:val="21"/>
                      <w:szCs w:val="22"/>
                    </w:rPr>
                    <w:t>单孔尺寸拟定为：</w:t>
                  </w:r>
                  <w:r>
                    <w:rPr>
                      <w:bCs w:val="0"/>
                      <w:color w:val="auto"/>
                      <w:sz w:val="21"/>
                      <w:szCs w:val="22"/>
                    </w:rPr>
                    <w:t>3.5m×3.5m</w:t>
                  </w:r>
                  <w:r>
                    <w:rPr>
                      <w:rFonts w:hint="eastAsia"/>
                      <w:bCs w:val="0"/>
                      <w:color w:val="auto"/>
                      <w:sz w:val="21"/>
                      <w:szCs w:val="22"/>
                    </w:rPr>
                    <w:t>（宽</w:t>
                  </w:r>
                  <w:r>
                    <w:rPr>
                      <w:bCs w:val="0"/>
                      <w:color w:val="auto"/>
                      <w:sz w:val="21"/>
                      <w:szCs w:val="22"/>
                    </w:rPr>
                    <w:t>×</w:t>
                  </w:r>
                  <w:r>
                    <w:rPr>
                      <w:rFonts w:hint="eastAsia"/>
                      <w:bCs w:val="0"/>
                      <w:color w:val="auto"/>
                      <w:sz w:val="21"/>
                      <w:szCs w:val="22"/>
                    </w:rPr>
                    <w:t>高），比降</w:t>
                  </w:r>
                  <w:r>
                    <w:rPr>
                      <w:bCs w:val="0"/>
                      <w:color w:val="auto"/>
                      <w:sz w:val="21"/>
                      <w:szCs w:val="22"/>
                    </w:rPr>
                    <w:t>1/100</w:t>
                  </w:r>
                  <w:r>
                    <w:rPr>
                      <w:rFonts w:hint="eastAsia"/>
                      <w:bCs w:val="0"/>
                      <w:color w:val="auto"/>
                      <w:sz w:val="21"/>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448" w:type="pct"/>
                  <w:gridSpan w:val="2"/>
                  <w:vMerge w:val="continue"/>
                  <w:tcBorders>
                    <w:tl2br w:val="nil"/>
                    <w:tr2bl w:val="nil"/>
                  </w:tcBorders>
                  <w:vAlign w:val="center"/>
                </w:tcPr>
                <w:p>
                  <w:pPr>
                    <w:adjustRightInd w:val="0"/>
                    <w:snapToGrid w:val="0"/>
                    <w:jc w:val="center"/>
                    <w:rPr>
                      <w:color w:val="auto"/>
                      <w:szCs w:val="22"/>
                    </w:rPr>
                  </w:pPr>
                </w:p>
              </w:tc>
              <w:tc>
                <w:tcPr>
                  <w:tcW w:w="524" w:type="pct"/>
                  <w:tcBorders>
                    <w:tl2br w:val="nil"/>
                    <w:tr2bl w:val="nil"/>
                  </w:tcBorders>
                  <w:vAlign w:val="center"/>
                </w:tcPr>
                <w:p>
                  <w:pPr>
                    <w:adjustRightInd w:val="0"/>
                    <w:snapToGrid w:val="0"/>
                    <w:jc w:val="center"/>
                    <w:rPr>
                      <w:color w:val="auto"/>
                      <w:szCs w:val="22"/>
                    </w:rPr>
                  </w:pPr>
                  <w:r>
                    <w:rPr>
                      <w:rFonts w:hint="eastAsia"/>
                      <w:color w:val="auto"/>
                      <w:kern w:val="0"/>
                      <w:szCs w:val="21"/>
                    </w:rPr>
                    <w:t>排洪渠</w:t>
                  </w:r>
                </w:p>
              </w:tc>
              <w:tc>
                <w:tcPr>
                  <w:tcW w:w="3617" w:type="pct"/>
                  <w:tcBorders>
                    <w:tl2br w:val="nil"/>
                    <w:tr2bl w:val="nil"/>
                  </w:tcBorders>
                  <w:vAlign w:val="center"/>
                </w:tcPr>
                <w:p>
                  <w:pPr>
                    <w:pStyle w:val="41"/>
                    <w:widowControl w:val="0"/>
                    <w:spacing w:line="288" w:lineRule="auto"/>
                    <w:ind w:firstLine="210" w:firstLineChars="100"/>
                    <w:rPr>
                      <w:color w:val="auto"/>
                      <w:szCs w:val="22"/>
                    </w:rPr>
                  </w:pPr>
                  <w:r>
                    <w:rPr>
                      <w:rFonts w:hint="eastAsia"/>
                      <w:bCs w:val="0"/>
                      <w:color w:val="auto"/>
                      <w:sz w:val="21"/>
                      <w:szCs w:val="22"/>
                    </w:rPr>
                    <w:t>在水库左坝肩新建泄洪洞后接排洪渠，排洪渠水平长</w:t>
                  </w:r>
                  <w:r>
                    <w:rPr>
                      <w:bCs w:val="0"/>
                      <w:color w:val="auto"/>
                      <w:sz w:val="21"/>
                      <w:szCs w:val="22"/>
                    </w:rPr>
                    <w:t>1690.5m</w:t>
                  </w:r>
                  <w:r>
                    <w:rPr>
                      <w:rFonts w:hint="eastAsia"/>
                      <w:bCs w:val="0"/>
                      <w:color w:val="auto"/>
                      <w:sz w:val="21"/>
                      <w:szCs w:val="22"/>
                    </w:rPr>
                    <w:t>，由一级明渠、过路涵洞、二级明渠、陡坡、消力池及海漫组成</w:t>
                  </w:r>
                  <w:r>
                    <w:rPr>
                      <w:rFonts w:hint="eastAsia"/>
                      <w:bCs w:val="0"/>
                      <w:color w:val="auto"/>
                      <w:sz w:val="21"/>
                      <w:szCs w:val="22"/>
                      <w:lang w:val="eu-ES"/>
                    </w:rPr>
                    <w:t>。</w:t>
                  </w:r>
                  <w:r>
                    <w:rPr>
                      <w:rFonts w:hint="eastAsia"/>
                      <w:bCs w:val="0"/>
                      <w:color w:val="auto"/>
                      <w:sz w:val="21"/>
                      <w:szCs w:val="22"/>
                    </w:rPr>
                    <w:t>一级明渠和二级明渠分别建在王洼沟左岸坡治理区和王洼二矿矸石场上，一级明渠水平长</w:t>
                  </w:r>
                  <w:r>
                    <w:rPr>
                      <w:bCs w:val="0"/>
                      <w:color w:val="auto"/>
                      <w:sz w:val="21"/>
                      <w:szCs w:val="22"/>
                    </w:rPr>
                    <w:t>1084m</w:t>
                  </w:r>
                  <w:r>
                    <w:rPr>
                      <w:rFonts w:hint="eastAsia"/>
                      <w:bCs w:val="0"/>
                      <w:color w:val="auto"/>
                      <w:sz w:val="21"/>
                      <w:szCs w:val="22"/>
                    </w:rPr>
                    <w:t>；二级明渠水平长</w:t>
                  </w:r>
                  <w:r>
                    <w:rPr>
                      <w:bCs w:val="0"/>
                      <w:color w:val="auto"/>
                      <w:sz w:val="21"/>
                      <w:szCs w:val="22"/>
                    </w:rPr>
                    <w:t>472.5m</w:t>
                  </w:r>
                  <w:r>
                    <w:rPr>
                      <w:rFonts w:hint="eastAsia"/>
                      <w:bCs w:val="0"/>
                      <w:color w:val="auto"/>
                      <w:sz w:val="21"/>
                      <w:szCs w:val="22"/>
                    </w:rPr>
                    <w:t>；二级明渠末端接陡坡段，水平长</w:t>
                  </w:r>
                  <w:r>
                    <w:rPr>
                      <w:bCs w:val="0"/>
                      <w:color w:val="auto"/>
                      <w:sz w:val="21"/>
                      <w:szCs w:val="22"/>
                    </w:rPr>
                    <w:t>80m</w:t>
                  </w:r>
                  <w:r>
                    <w:rPr>
                      <w:rFonts w:hint="eastAsia"/>
                      <w:bCs w:val="0"/>
                      <w:color w:val="auto"/>
                      <w:sz w:val="21"/>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448" w:type="pct"/>
                  <w:gridSpan w:val="2"/>
                  <w:vMerge w:val="continue"/>
                  <w:tcBorders>
                    <w:tl2br w:val="nil"/>
                    <w:tr2bl w:val="nil"/>
                  </w:tcBorders>
                  <w:vAlign w:val="center"/>
                </w:tcPr>
                <w:p>
                  <w:pPr>
                    <w:adjustRightInd w:val="0"/>
                    <w:snapToGrid w:val="0"/>
                    <w:jc w:val="center"/>
                    <w:rPr>
                      <w:color w:val="auto"/>
                      <w:szCs w:val="22"/>
                    </w:rPr>
                  </w:pPr>
                </w:p>
              </w:tc>
              <w:tc>
                <w:tcPr>
                  <w:tcW w:w="524" w:type="pct"/>
                  <w:tcBorders>
                    <w:tl2br w:val="nil"/>
                    <w:tr2bl w:val="nil"/>
                  </w:tcBorders>
                  <w:vAlign w:val="center"/>
                </w:tcPr>
                <w:p>
                  <w:pPr>
                    <w:adjustRightInd w:val="0"/>
                    <w:snapToGrid w:val="0"/>
                    <w:jc w:val="center"/>
                    <w:rPr>
                      <w:color w:val="auto"/>
                      <w:szCs w:val="22"/>
                    </w:rPr>
                  </w:pPr>
                  <w:r>
                    <w:rPr>
                      <w:rFonts w:hint="eastAsia"/>
                      <w:color w:val="auto"/>
                      <w:kern w:val="0"/>
                      <w:szCs w:val="21"/>
                    </w:rPr>
                    <w:t>截洪渠</w:t>
                  </w:r>
                </w:p>
              </w:tc>
              <w:tc>
                <w:tcPr>
                  <w:tcW w:w="3617" w:type="pct"/>
                  <w:tcBorders>
                    <w:tl2br w:val="nil"/>
                    <w:tr2bl w:val="nil"/>
                  </w:tcBorders>
                  <w:vAlign w:val="center"/>
                </w:tcPr>
                <w:p>
                  <w:pPr>
                    <w:pStyle w:val="41"/>
                    <w:widowControl w:val="0"/>
                    <w:spacing w:line="288" w:lineRule="auto"/>
                    <w:ind w:firstLine="210" w:firstLineChars="100"/>
                    <w:rPr>
                      <w:bCs w:val="0"/>
                      <w:color w:val="auto"/>
                      <w:sz w:val="21"/>
                      <w:szCs w:val="22"/>
                    </w:rPr>
                  </w:pPr>
                  <w:r>
                    <w:rPr>
                      <w:rFonts w:hint="eastAsia"/>
                      <w:bCs w:val="0"/>
                      <w:color w:val="auto"/>
                      <w:sz w:val="21"/>
                      <w:szCs w:val="22"/>
                    </w:rPr>
                    <w:t>对矸石场上0.5万m</w:t>
                  </w:r>
                  <w:r>
                    <w:rPr>
                      <w:rFonts w:hint="eastAsia"/>
                      <w:bCs w:val="0"/>
                      <w:color w:val="auto"/>
                      <w:sz w:val="21"/>
                      <w:szCs w:val="22"/>
                      <w:vertAlign w:val="superscript"/>
                    </w:rPr>
                    <w:t>3</w:t>
                  </w:r>
                  <w:r>
                    <w:rPr>
                      <w:rFonts w:hint="eastAsia"/>
                      <w:bCs w:val="0"/>
                      <w:color w:val="auto"/>
                      <w:sz w:val="21"/>
                      <w:szCs w:val="22"/>
                    </w:rPr>
                    <w:t>II类一般工业固体废物处置场四周设置截洪渠共</w:t>
                  </w:r>
                  <w:r>
                    <w:rPr>
                      <w:bCs w:val="0"/>
                      <w:color w:val="auto"/>
                      <w:sz w:val="21"/>
                      <w:szCs w:val="22"/>
                    </w:rPr>
                    <w:t>185m</w:t>
                  </w:r>
                  <w:r>
                    <w:rPr>
                      <w:rFonts w:hint="eastAsia"/>
                      <w:bCs w:val="0"/>
                      <w:color w:val="auto"/>
                      <w:sz w:val="21"/>
                      <w:szCs w:val="22"/>
                    </w:rPr>
                    <w:t>，将水截留进入拟建主排洪渠排至下游沟道。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448" w:type="pct"/>
                  <w:gridSpan w:val="2"/>
                  <w:vMerge w:val="continue"/>
                  <w:tcBorders>
                    <w:tl2br w:val="nil"/>
                    <w:tr2bl w:val="nil"/>
                  </w:tcBorders>
                  <w:vAlign w:val="center"/>
                </w:tcPr>
                <w:p>
                  <w:pPr>
                    <w:adjustRightInd w:val="0"/>
                    <w:snapToGrid w:val="0"/>
                    <w:jc w:val="center"/>
                    <w:rPr>
                      <w:color w:val="auto"/>
                      <w:szCs w:val="22"/>
                    </w:rPr>
                  </w:pPr>
                </w:p>
              </w:tc>
              <w:tc>
                <w:tcPr>
                  <w:tcW w:w="524" w:type="pct"/>
                  <w:tcBorders>
                    <w:tl2br w:val="nil"/>
                    <w:tr2bl w:val="nil"/>
                  </w:tcBorders>
                  <w:vAlign w:val="center"/>
                </w:tcPr>
                <w:p>
                  <w:pPr>
                    <w:adjustRightInd w:val="0"/>
                    <w:snapToGrid w:val="0"/>
                    <w:jc w:val="center"/>
                    <w:rPr>
                      <w:b/>
                      <w:bCs/>
                      <w:color w:val="auto"/>
                      <w:kern w:val="0"/>
                      <w:szCs w:val="21"/>
                    </w:rPr>
                  </w:pPr>
                  <w:r>
                    <w:rPr>
                      <w:rFonts w:hint="eastAsia"/>
                      <w:color w:val="auto"/>
                      <w:kern w:val="0"/>
                      <w:szCs w:val="21"/>
                    </w:rPr>
                    <w:t>监测井</w:t>
                  </w:r>
                </w:p>
              </w:tc>
              <w:tc>
                <w:tcPr>
                  <w:tcW w:w="3617" w:type="pct"/>
                  <w:tcBorders>
                    <w:tl2br w:val="nil"/>
                    <w:tr2bl w:val="nil"/>
                  </w:tcBorders>
                  <w:vAlign w:val="center"/>
                </w:tcPr>
                <w:p>
                  <w:pPr>
                    <w:pStyle w:val="41"/>
                    <w:widowControl w:val="0"/>
                    <w:spacing w:line="288" w:lineRule="auto"/>
                    <w:ind w:firstLine="210" w:firstLineChars="100"/>
                    <w:rPr>
                      <w:bCs w:val="0"/>
                      <w:color w:val="auto"/>
                      <w:sz w:val="21"/>
                      <w:szCs w:val="22"/>
                    </w:rPr>
                  </w:pPr>
                  <w:r>
                    <w:rPr>
                      <w:rFonts w:hint="eastAsia"/>
                      <w:bCs w:val="0"/>
                      <w:color w:val="auto"/>
                      <w:sz w:val="21"/>
                      <w:szCs w:val="22"/>
                    </w:rPr>
                    <w:t>矸石场上游及拦渣坝下游沟道各设</w:t>
                  </w:r>
                  <w:r>
                    <w:rPr>
                      <w:bCs w:val="0"/>
                      <w:color w:val="auto"/>
                      <w:sz w:val="21"/>
                      <w:szCs w:val="22"/>
                    </w:rPr>
                    <w:t>1</w:t>
                  </w:r>
                  <w:r>
                    <w:rPr>
                      <w:rFonts w:hint="eastAsia"/>
                      <w:bCs w:val="0"/>
                      <w:color w:val="auto"/>
                      <w:sz w:val="21"/>
                      <w:szCs w:val="22"/>
                    </w:rPr>
                    <w:t>处监测井，对矸石场附近地下水水质进行跟踪监测。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color w:val="auto"/>
                      <w:szCs w:val="22"/>
                    </w:rPr>
                  </w:pPr>
                </w:p>
              </w:tc>
              <w:tc>
                <w:tcPr>
                  <w:tcW w:w="972" w:type="pct"/>
                  <w:gridSpan w:val="3"/>
                  <w:tcBorders>
                    <w:tl2br w:val="nil"/>
                    <w:tr2bl w:val="nil"/>
                  </w:tcBorders>
                  <w:vAlign w:val="center"/>
                </w:tcPr>
                <w:p>
                  <w:pPr>
                    <w:adjustRightInd w:val="0"/>
                    <w:snapToGrid w:val="0"/>
                    <w:jc w:val="center"/>
                    <w:rPr>
                      <w:color w:val="auto"/>
                      <w:szCs w:val="22"/>
                    </w:rPr>
                  </w:pPr>
                  <w:r>
                    <w:rPr>
                      <w:rFonts w:hint="eastAsia"/>
                      <w:color w:val="auto"/>
                      <w:szCs w:val="22"/>
                    </w:rPr>
                    <w:t>矸石场绿化</w:t>
                  </w:r>
                </w:p>
                <w:p>
                  <w:pPr>
                    <w:adjustRightInd w:val="0"/>
                    <w:snapToGrid w:val="0"/>
                    <w:jc w:val="center"/>
                    <w:rPr>
                      <w:color w:val="auto"/>
                      <w:szCs w:val="22"/>
                    </w:rPr>
                  </w:pPr>
                  <w:r>
                    <w:rPr>
                      <w:rFonts w:hint="eastAsia"/>
                      <w:color w:val="auto"/>
                      <w:szCs w:val="22"/>
                    </w:rPr>
                    <w:t>工程</w:t>
                  </w:r>
                </w:p>
              </w:tc>
              <w:tc>
                <w:tcPr>
                  <w:tcW w:w="3617" w:type="pct"/>
                  <w:tcBorders>
                    <w:tl2br w:val="nil"/>
                    <w:tr2bl w:val="nil"/>
                  </w:tcBorders>
                  <w:vAlign w:val="center"/>
                </w:tcPr>
                <w:p>
                  <w:pPr>
                    <w:pStyle w:val="7"/>
                    <w:adjustRightInd w:val="0"/>
                    <w:snapToGrid w:val="0"/>
                    <w:spacing w:line="288" w:lineRule="auto"/>
                    <w:ind w:firstLine="210" w:firstLineChars="100"/>
                    <w:rPr>
                      <w:color w:val="auto"/>
                    </w:rPr>
                  </w:pPr>
                  <w:r>
                    <w:rPr>
                      <w:rFonts w:hint="eastAsia"/>
                      <w:color w:val="auto"/>
                      <w:sz w:val="21"/>
                      <w:szCs w:val="22"/>
                    </w:rPr>
                    <w:t>现状矸石场表层覆盖黄土厚</w:t>
                  </w:r>
                  <w:r>
                    <w:rPr>
                      <w:color w:val="auto"/>
                      <w:sz w:val="21"/>
                      <w:szCs w:val="22"/>
                    </w:rPr>
                    <w:t>1-2m</w:t>
                  </w:r>
                  <w:r>
                    <w:rPr>
                      <w:rFonts w:hint="eastAsia"/>
                      <w:color w:val="auto"/>
                      <w:sz w:val="21"/>
                      <w:szCs w:val="22"/>
                    </w:rPr>
                    <w:t>，本次设计对矸石场表层沿排洪渠方向进行带坡平整，平整后复垦种植苜蓿，播种面积</w:t>
                  </w:r>
                  <w:r>
                    <w:rPr>
                      <w:color w:val="auto"/>
                      <w:sz w:val="21"/>
                      <w:szCs w:val="22"/>
                    </w:rPr>
                    <w:t>2.5hm</w:t>
                  </w:r>
                  <w:r>
                    <w:rPr>
                      <w:color w:val="auto"/>
                      <w:sz w:val="21"/>
                      <w:szCs w:val="22"/>
                      <w:vertAlign w:val="superscript"/>
                    </w:rPr>
                    <w:t>2</w:t>
                  </w:r>
                  <w:r>
                    <w:rPr>
                      <w:rFonts w:hint="eastAsia"/>
                      <w:color w:val="auto"/>
                      <w:sz w:val="21"/>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411" w:type="pct"/>
                  <w:vMerge w:val="restart"/>
                  <w:tcBorders>
                    <w:tl2br w:val="nil"/>
                    <w:tr2bl w:val="nil"/>
                  </w:tcBorders>
                  <w:vAlign w:val="center"/>
                </w:tcPr>
                <w:p>
                  <w:pPr>
                    <w:adjustRightInd w:val="0"/>
                    <w:snapToGrid w:val="0"/>
                    <w:rPr>
                      <w:b/>
                      <w:color w:val="auto"/>
                      <w:szCs w:val="22"/>
                    </w:rPr>
                  </w:pPr>
                  <w:r>
                    <w:rPr>
                      <w:b/>
                      <w:color w:val="auto"/>
                      <w:szCs w:val="22"/>
                    </w:rPr>
                    <w:t>辅助</w:t>
                  </w:r>
                </w:p>
                <w:p>
                  <w:pPr>
                    <w:adjustRightInd w:val="0"/>
                    <w:snapToGrid w:val="0"/>
                    <w:rPr>
                      <w:b/>
                      <w:color w:val="auto"/>
                      <w:szCs w:val="22"/>
                    </w:rPr>
                  </w:pPr>
                  <w:r>
                    <w:rPr>
                      <w:b/>
                      <w:color w:val="auto"/>
                      <w:szCs w:val="22"/>
                    </w:rPr>
                    <w:t>工程</w:t>
                  </w:r>
                </w:p>
              </w:tc>
              <w:tc>
                <w:tcPr>
                  <w:tcW w:w="972" w:type="pct"/>
                  <w:gridSpan w:val="3"/>
                  <w:tcBorders>
                    <w:tl2br w:val="nil"/>
                    <w:tr2bl w:val="nil"/>
                  </w:tcBorders>
                  <w:vAlign w:val="center"/>
                </w:tcPr>
                <w:p>
                  <w:pPr>
                    <w:adjustRightInd w:val="0"/>
                    <w:snapToGrid w:val="0"/>
                    <w:jc w:val="center"/>
                    <w:rPr>
                      <w:color w:val="auto"/>
                      <w:szCs w:val="22"/>
                    </w:rPr>
                  </w:pPr>
                  <w:r>
                    <w:rPr>
                      <w:color w:val="auto"/>
                      <w:szCs w:val="22"/>
                    </w:rPr>
                    <w:t>施工道路</w:t>
                  </w:r>
                </w:p>
              </w:tc>
              <w:tc>
                <w:tcPr>
                  <w:tcW w:w="3617" w:type="pct"/>
                  <w:tcBorders>
                    <w:tl2br w:val="nil"/>
                    <w:tr2bl w:val="nil"/>
                  </w:tcBorders>
                  <w:vAlign w:val="center"/>
                </w:tcPr>
                <w:p>
                  <w:pPr>
                    <w:adjustRightInd w:val="0"/>
                    <w:snapToGrid w:val="0"/>
                    <w:ind w:firstLine="210" w:firstLineChars="100"/>
                    <w:jc w:val="left"/>
                    <w:rPr>
                      <w:color w:val="auto"/>
                      <w:szCs w:val="22"/>
                    </w:rPr>
                  </w:pPr>
                  <w:r>
                    <w:rPr>
                      <w:rFonts w:hint="eastAsia"/>
                      <w:color w:val="auto"/>
                      <w:szCs w:val="22"/>
                    </w:rPr>
                    <w:t>本项目位于王洼二矿东侧，依托现有道路可满足施工要求，无需设置施工道路</w:t>
                  </w:r>
                  <w:r>
                    <w:rPr>
                      <w:color w:val="auto"/>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972" w:type="pct"/>
                  <w:gridSpan w:val="3"/>
                  <w:tcBorders>
                    <w:tl2br w:val="nil"/>
                    <w:tr2bl w:val="nil"/>
                  </w:tcBorders>
                  <w:vAlign w:val="center"/>
                </w:tcPr>
                <w:p>
                  <w:pPr>
                    <w:adjustRightInd w:val="0"/>
                    <w:snapToGrid w:val="0"/>
                    <w:jc w:val="center"/>
                    <w:rPr>
                      <w:color w:val="auto"/>
                      <w:szCs w:val="22"/>
                    </w:rPr>
                  </w:pPr>
                  <w:r>
                    <w:rPr>
                      <w:color w:val="auto"/>
                      <w:szCs w:val="22"/>
                    </w:rPr>
                    <w:t>车辆冲洗</w:t>
                  </w:r>
                </w:p>
              </w:tc>
              <w:tc>
                <w:tcPr>
                  <w:tcW w:w="3617" w:type="pct"/>
                  <w:tcBorders>
                    <w:tl2br w:val="nil"/>
                    <w:tr2bl w:val="nil"/>
                  </w:tcBorders>
                  <w:vAlign w:val="center"/>
                </w:tcPr>
                <w:p>
                  <w:pPr>
                    <w:adjustRightInd w:val="0"/>
                    <w:snapToGrid w:val="0"/>
                    <w:ind w:firstLine="210" w:firstLineChars="100"/>
                    <w:jc w:val="left"/>
                    <w:rPr>
                      <w:color w:val="auto"/>
                      <w:szCs w:val="22"/>
                    </w:rPr>
                  </w:pPr>
                  <w:r>
                    <w:rPr>
                      <w:color w:val="auto"/>
                      <w:szCs w:val="22"/>
                    </w:rPr>
                    <w:t>依托</w:t>
                  </w:r>
                  <w:r>
                    <w:rPr>
                      <w:rFonts w:hint="eastAsia"/>
                      <w:color w:val="auto"/>
                      <w:szCs w:val="22"/>
                      <w:lang w:eastAsia="zh-CN"/>
                    </w:rPr>
                    <w:t>王洼二矿</w:t>
                  </w:r>
                  <w:r>
                    <w:rPr>
                      <w:color w:val="auto"/>
                      <w:szCs w:val="22"/>
                    </w:rPr>
                    <w:t>煤矿现有车辆冲洗设施，车辆冲洗废水经沉淀处理后循环使用。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restart"/>
                  <w:tcBorders>
                    <w:tl2br w:val="nil"/>
                    <w:tr2bl w:val="nil"/>
                  </w:tcBorders>
                  <w:vAlign w:val="center"/>
                </w:tcPr>
                <w:p>
                  <w:pPr>
                    <w:adjustRightInd w:val="0"/>
                    <w:snapToGrid w:val="0"/>
                    <w:jc w:val="center"/>
                    <w:rPr>
                      <w:b/>
                      <w:color w:val="auto"/>
                      <w:szCs w:val="22"/>
                    </w:rPr>
                  </w:pPr>
                  <w:r>
                    <w:rPr>
                      <w:b/>
                      <w:color w:val="auto"/>
                      <w:szCs w:val="22"/>
                    </w:rPr>
                    <w:t>公用</w:t>
                  </w:r>
                </w:p>
                <w:p>
                  <w:pPr>
                    <w:adjustRightInd w:val="0"/>
                    <w:snapToGrid w:val="0"/>
                    <w:jc w:val="center"/>
                    <w:rPr>
                      <w:b/>
                      <w:color w:val="auto"/>
                      <w:szCs w:val="22"/>
                    </w:rPr>
                  </w:pPr>
                  <w:r>
                    <w:rPr>
                      <w:b/>
                      <w:color w:val="auto"/>
                      <w:szCs w:val="22"/>
                    </w:rPr>
                    <w:t>工程</w:t>
                  </w:r>
                </w:p>
              </w:tc>
              <w:tc>
                <w:tcPr>
                  <w:tcW w:w="972" w:type="pct"/>
                  <w:gridSpan w:val="3"/>
                  <w:tcBorders>
                    <w:tl2br w:val="nil"/>
                    <w:tr2bl w:val="nil"/>
                  </w:tcBorders>
                  <w:vAlign w:val="center"/>
                </w:tcPr>
                <w:p>
                  <w:pPr>
                    <w:adjustRightInd w:val="0"/>
                    <w:snapToGrid w:val="0"/>
                    <w:jc w:val="center"/>
                    <w:rPr>
                      <w:color w:val="auto"/>
                      <w:szCs w:val="22"/>
                    </w:rPr>
                  </w:pPr>
                  <w:r>
                    <w:rPr>
                      <w:color w:val="auto"/>
                      <w:szCs w:val="22"/>
                    </w:rPr>
                    <w:t>给水</w:t>
                  </w:r>
                </w:p>
              </w:tc>
              <w:tc>
                <w:tcPr>
                  <w:tcW w:w="3617" w:type="pct"/>
                  <w:tcBorders>
                    <w:tl2br w:val="nil"/>
                    <w:tr2bl w:val="nil"/>
                  </w:tcBorders>
                  <w:vAlign w:val="center"/>
                </w:tcPr>
                <w:p>
                  <w:pPr>
                    <w:adjustRightInd w:val="0"/>
                    <w:snapToGrid w:val="0"/>
                    <w:ind w:firstLine="210" w:firstLineChars="100"/>
                    <w:jc w:val="left"/>
                    <w:rPr>
                      <w:rFonts w:hint="eastAsia" w:eastAsia="宋体"/>
                      <w:color w:val="auto"/>
                      <w:szCs w:val="22"/>
                      <w:lang w:eastAsia="zh-CN"/>
                    </w:rPr>
                  </w:pPr>
                  <w:r>
                    <w:rPr>
                      <w:rFonts w:hint="eastAsia"/>
                      <w:color w:val="auto"/>
                      <w:szCs w:val="22"/>
                    </w:rPr>
                    <w:t>本项目运营期无用水要求，施工用水从王洼二矿矿区就近拉运</w:t>
                  </w:r>
                  <w:r>
                    <w:rPr>
                      <w:color w:val="auto"/>
                      <w:szCs w:val="22"/>
                    </w:rPr>
                    <w:t>，来源</w:t>
                  </w:r>
                  <w:r>
                    <w:rPr>
                      <w:rFonts w:hint="eastAsia"/>
                      <w:color w:val="auto"/>
                      <w:szCs w:val="22"/>
                    </w:rPr>
                    <w:t>为王洼二矿</w:t>
                  </w:r>
                  <w:r>
                    <w:rPr>
                      <w:color w:val="auto"/>
                      <w:szCs w:val="22"/>
                    </w:rPr>
                    <w:t>处理达标的矿井水</w:t>
                  </w:r>
                  <w:r>
                    <w:rPr>
                      <w:rFonts w:hint="eastAsia"/>
                      <w:color w:val="auto"/>
                      <w:szCs w:val="22"/>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972" w:type="pct"/>
                  <w:gridSpan w:val="3"/>
                  <w:tcBorders>
                    <w:tl2br w:val="nil"/>
                    <w:tr2bl w:val="nil"/>
                  </w:tcBorders>
                  <w:vAlign w:val="center"/>
                </w:tcPr>
                <w:p>
                  <w:pPr>
                    <w:adjustRightInd w:val="0"/>
                    <w:snapToGrid w:val="0"/>
                    <w:jc w:val="center"/>
                    <w:rPr>
                      <w:color w:val="auto"/>
                      <w:szCs w:val="22"/>
                    </w:rPr>
                  </w:pPr>
                  <w:r>
                    <w:rPr>
                      <w:color w:val="auto"/>
                      <w:szCs w:val="22"/>
                    </w:rPr>
                    <w:t>排水</w:t>
                  </w:r>
                </w:p>
              </w:tc>
              <w:tc>
                <w:tcPr>
                  <w:tcW w:w="3617" w:type="pct"/>
                  <w:tcBorders>
                    <w:tl2br w:val="nil"/>
                    <w:tr2bl w:val="nil"/>
                  </w:tcBorders>
                  <w:vAlign w:val="center"/>
                </w:tcPr>
                <w:p>
                  <w:pPr>
                    <w:adjustRightInd w:val="0"/>
                    <w:snapToGrid w:val="0"/>
                    <w:ind w:firstLine="210" w:firstLineChars="100"/>
                    <w:jc w:val="left"/>
                    <w:rPr>
                      <w:color w:val="auto"/>
                      <w:szCs w:val="22"/>
                    </w:rPr>
                  </w:pPr>
                  <w:r>
                    <w:rPr>
                      <w:rFonts w:hint="eastAsia"/>
                      <w:color w:val="auto"/>
                      <w:szCs w:val="22"/>
                    </w:rPr>
                    <w:t>本项目运营期无废水排放，施工</w:t>
                  </w:r>
                  <w:r>
                    <w:rPr>
                      <w:color w:val="auto"/>
                      <w:szCs w:val="21"/>
                    </w:rPr>
                    <w:t>废水经沉淀后回用，不外排。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972" w:type="pct"/>
                  <w:gridSpan w:val="3"/>
                  <w:tcBorders>
                    <w:tl2br w:val="nil"/>
                    <w:tr2bl w:val="nil"/>
                  </w:tcBorders>
                  <w:vAlign w:val="center"/>
                </w:tcPr>
                <w:p>
                  <w:pPr>
                    <w:adjustRightInd w:val="0"/>
                    <w:snapToGrid w:val="0"/>
                    <w:jc w:val="center"/>
                    <w:rPr>
                      <w:color w:val="auto"/>
                      <w:szCs w:val="22"/>
                    </w:rPr>
                  </w:pPr>
                  <w:r>
                    <w:rPr>
                      <w:color w:val="auto"/>
                      <w:szCs w:val="22"/>
                    </w:rPr>
                    <w:t>供热</w:t>
                  </w:r>
                </w:p>
              </w:tc>
              <w:tc>
                <w:tcPr>
                  <w:tcW w:w="3617" w:type="pct"/>
                  <w:vMerge w:val="restart"/>
                  <w:tcBorders>
                    <w:tl2br w:val="nil"/>
                    <w:tr2bl w:val="nil"/>
                  </w:tcBorders>
                  <w:vAlign w:val="center"/>
                </w:tcPr>
                <w:p>
                  <w:pPr>
                    <w:adjustRightInd w:val="0"/>
                    <w:snapToGrid w:val="0"/>
                    <w:ind w:firstLine="210" w:firstLineChars="100"/>
                    <w:jc w:val="left"/>
                    <w:rPr>
                      <w:color w:val="auto"/>
                      <w:szCs w:val="22"/>
                    </w:rPr>
                  </w:pPr>
                  <w:r>
                    <w:rPr>
                      <w:color w:val="auto"/>
                      <w:szCs w:val="22"/>
                    </w:rPr>
                    <w:t>本项目</w:t>
                  </w:r>
                  <w:r>
                    <w:rPr>
                      <w:rFonts w:hint="eastAsia"/>
                      <w:color w:val="auto"/>
                      <w:szCs w:val="22"/>
                    </w:rPr>
                    <w:t>运营期日常维护</w:t>
                  </w:r>
                  <w:r>
                    <w:rPr>
                      <w:color w:val="auto"/>
                      <w:szCs w:val="22"/>
                    </w:rPr>
                    <w:t>依托</w:t>
                  </w:r>
                  <w:r>
                    <w:rPr>
                      <w:rFonts w:hint="eastAsia"/>
                      <w:color w:val="auto"/>
                      <w:szCs w:val="22"/>
                    </w:rPr>
                    <w:t>王洼二</w:t>
                  </w:r>
                  <w:r>
                    <w:rPr>
                      <w:color w:val="auto"/>
                      <w:szCs w:val="22"/>
                    </w:rPr>
                    <w:t>矿，不设食宿、生活办公区，无供暖供气供电等公用工程</w:t>
                  </w:r>
                  <w:r>
                    <w:rPr>
                      <w:rFonts w:hint="eastAsia"/>
                      <w:color w:val="auto"/>
                      <w:szCs w:val="22"/>
                    </w:rPr>
                    <w:t>；施工期用电依托王洼二矿供电设施就近接线。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972" w:type="pct"/>
                  <w:gridSpan w:val="3"/>
                  <w:tcBorders>
                    <w:tl2br w:val="nil"/>
                    <w:tr2bl w:val="nil"/>
                  </w:tcBorders>
                  <w:vAlign w:val="center"/>
                </w:tcPr>
                <w:p>
                  <w:pPr>
                    <w:adjustRightInd w:val="0"/>
                    <w:snapToGrid w:val="0"/>
                    <w:jc w:val="center"/>
                    <w:rPr>
                      <w:color w:val="auto"/>
                      <w:szCs w:val="22"/>
                    </w:rPr>
                  </w:pPr>
                  <w:r>
                    <w:rPr>
                      <w:color w:val="auto"/>
                      <w:szCs w:val="22"/>
                    </w:rPr>
                    <w:t>供电</w:t>
                  </w:r>
                </w:p>
              </w:tc>
              <w:tc>
                <w:tcPr>
                  <w:tcW w:w="3617" w:type="pct"/>
                  <w:vMerge w:val="continue"/>
                  <w:tcBorders>
                    <w:tl2br w:val="nil"/>
                    <w:tr2bl w:val="nil"/>
                  </w:tcBorders>
                  <w:vAlign w:val="center"/>
                </w:tcPr>
                <w:p>
                  <w:pPr>
                    <w:adjustRightInd w:val="0"/>
                    <w:snapToGrid w:val="0"/>
                    <w:ind w:firstLine="210" w:firstLineChars="100"/>
                    <w:jc w:val="left"/>
                    <w:rPr>
                      <w:color w:val="auto"/>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restart"/>
                  <w:tcBorders>
                    <w:tl2br w:val="nil"/>
                    <w:tr2bl w:val="nil"/>
                  </w:tcBorders>
                  <w:vAlign w:val="center"/>
                </w:tcPr>
                <w:p>
                  <w:pPr>
                    <w:adjustRightInd w:val="0"/>
                    <w:snapToGrid w:val="0"/>
                    <w:jc w:val="center"/>
                    <w:rPr>
                      <w:b/>
                      <w:color w:val="auto"/>
                      <w:szCs w:val="22"/>
                    </w:rPr>
                  </w:pPr>
                  <w:r>
                    <w:rPr>
                      <w:b/>
                      <w:color w:val="auto"/>
                      <w:szCs w:val="22"/>
                    </w:rPr>
                    <w:t>环保</w:t>
                  </w:r>
                </w:p>
                <w:p>
                  <w:pPr>
                    <w:adjustRightInd w:val="0"/>
                    <w:snapToGrid w:val="0"/>
                    <w:jc w:val="center"/>
                    <w:rPr>
                      <w:b/>
                      <w:color w:val="auto"/>
                      <w:szCs w:val="22"/>
                    </w:rPr>
                  </w:pPr>
                  <w:r>
                    <w:rPr>
                      <w:b/>
                      <w:color w:val="auto"/>
                      <w:szCs w:val="22"/>
                    </w:rPr>
                    <w:t>工程</w:t>
                  </w:r>
                </w:p>
              </w:tc>
              <w:tc>
                <w:tcPr>
                  <w:tcW w:w="343" w:type="pct"/>
                  <w:vMerge w:val="restart"/>
                  <w:tcBorders>
                    <w:tl2br w:val="nil"/>
                    <w:tr2bl w:val="nil"/>
                  </w:tcBorders>
                  <w:vAlign w:val="center"/>
                </w:tcPr>
                <w:p>
                  <w:pPr>
                    <w:adjustRightInd w:val="0"/>
                    <w:snapToGrid w:val="0"/>
                    <w:jc w:val="center"/>
                    <w:rPr>
                      <w:color w:val="auto"/>
                      <w:szCs w:val="22"/>
                    </w:rPr>
                  </w:pPr>
                  <w:r>
                    <w:rPr>
                      <w:rFonts w:hint="eastAsia"/>
                      <w:color w:val="auto"/>
                      <w:szCs w:val="22"/>
                    </w:rPr>
                    <w:t>施工期</w:t>
                  </w:r>
                </w:p>
              </w:tc>
              <w:tc>
                <w:tcPr>
                  <w:tcW w:w="629" w:type="pct"/>
                  <w:gridSpan w:val="2"/>
                  <w:tcBorders>
                    <w:tl2br w:val="nil"/>
                    <w:tr2bl w:val="nil"/>
                  </w:tcBorders>
                  <w:vAlign w:val="center"/>
                </w:tcPr>
                <w:p>
                  <w:pPr>
                    <w:adjustRightInd w:val="0"/>
                    <w:snapToGrid w:val="0"/>
                    <w:jc w:val="center"/>
                    <w:rPr>
                      <w:color w:val="auto"/>
                      <w:szCs w:val="22"/>
                    </w:rPr>
                  </w:pPr>
                  <w:r>
                    <w:rPr>
                      <w:color w:val="auto"/>
                      <w:szCs w:val="22"/>
                    </w:rPr>
                    <w:t>废气治理</w:t>
                  </w:r>
                </w:p>
              </w:tc>
              <w:tc>
                <w:tcPr>
                  <w:tcW w:w="3617" w:type="pct"/>
                  <w:tcBorders>
                    <w:tl2br w:val="nil"/>
                    <w:tr2bl w:val="nil"/>
                  </w:tcBorders>
                  <w:vAlign w:val="center"/>
                </w:tcPr>
                <w:p>
                  <w:pPr>
                    <w:adjustRightInd w:val="0"/>
                    <w:snapToGrid w:val="0"/>
                    <w:ind w:firstLine="210" w:firstLineChars="100"/>
                    <w:jc w:val="left"/>
                    <w:rPr>
                      <w:color w:val="auto"/>
                      <w:szCs w:val="22"/>
                    </w:rPr>
                  </w:pPr>
                  <w:r>
                    <w:rPr>
                      <w:rFonts w:hint="eastAsia"/>
                      <w:color w:val="auto"/>
                      <w:kern w:val="0"/>
                      <w:szCs w:val="21"/>
                    </w:rPr>
                    <w:t>土方开挖、运输和填筑、易产生扬尘工序等施工时，必须进行湿法作业，</w:t>
                  </w:r>
                  <w:r>
                    <w:rPr>
                      <w:color w:val="auto"/>
                      <w:kern w:val="0"/>
                      <w:szCs w:val="21"/>
                    </w:rPr>
                    <w:t>4</w:t>
                  </w:r>
                  <w:r>
                    <w:rPr>
                      <w:rFonts w:hint="eastAsia"/>
                      <w:color w:val="auto"/>
                      <w:kern w:val="0"/>
                      <w:szCs w:val="21"/>
                    </w:rPr>
                    <w:t>级以上大风或重度污染天气时，严禁施工，并做好作业面覆盖工作；施工机械和车辆加强管理和限速控制可有效地控制施工机械和运输车辆所引起的扬尘污染，同时可降低机动车尾气的排放；施工现场设置围挡，覆盖颗粒状轻质施工原料、运输车辆加盖和清洗等措施</w:t>
                  </w:r>
                  <w:r>
                    <w:rPr>
                      <w:color w:val="auto"/>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343" w:type="pct"/>
                  <w:vMerge w:val="continue"/>
                  <w:tcBorders>
                    <w:tl2br w:val="nil"/>
                    <w:tr2bl w:val="nil"/>
                  </w:tcBorders>
                  <w:vAlign w:val="center"/>
                </w:tcPr>
                <w:p>
                  <w:pPr>
                    <w:adjustRightInd w:val="0"/>
                    <w:snapToGrid w:val="0"/>
                    <w:jc w:val="center"/>
                    <w:rPr>
                      <w:color w:val="auto"/>
                      <w:szCs w:val="22"/>
                    </w:rPr>
                  </w:pPr>
                </w:p>
              </w:tc>
              <w:tc>
                <w:tcPr>
                  <w:tcW w:w="629" w:type="pct"/>
                  <w:gridSpan w:val="2"/>
                  <w:tcBorders>
                    <w:tl2br w:val="nil"/>
                    <w:tr2bl w:val="nil"/>
                  </w:tcBorders>
                  <w:vAlign w:val="center"/>
                </w:tcPr>
                <w:p>
                  <w:pPr>
                    <w:adjustRightInd w:val="0"/>
                    <w:snapToGrid w:val="0"/>
                    <w:jc w:val="center"/>
                    <w:rPr>
                      <w:color w:val="auto"/>
                      <w:szCs w:val="22"/>
                    </w:rPr>
                  </w:pPr>
                  <w:r>
                    <w:rPr>
                      <w:color w:val="auto"/>
                      <w:szCs w:val="22"/>
                    </w:rPr>
                    <w:t>废水治理</w:t>
                  </w:r>
                </w:p>
              </w:tc>
              <w:tc>
                <w:tcPr>
                  <w:tcW w:w="3617" w:type="pct"/>
                  <w:tcBorders>
                    <w:tl2br w:val="nil"/>
                    <w:tr2bl w:val="nil"/>
                  </w:tcBorders>
                  <w:vAlign w:val="center"/>
                </w:tcPr>
                <w:p>
                  <w:pPr>
                    <w:adjustRightInd w:val="0"/>
                    <w:snapToGrid w:val="0"/>
                    <w:ind w:firstLine="210" w:firstLineChars="100"/>
                    <w:jc w:val="left"/>
                    <w:rPr>
                      <w:color w:val="auto"/>
                      <w:kern w:val="0"/>
                      <w:szCs w:val="21"/>
                    </w:rPr>
                  </w:pPr>
                  <w:r>
                    <w:rPr>
                      <w:rFonts w:hint="eastAsia"/>
                      <w:color w:val="auto"/>
                      <w:szCs w:val="22"/>
                    </w:rPr>
                    <w:t>施工场地设置临时沉淀池，施工废水经沉淀后综合利用。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343" w:type="pct"/>
                  <w:vMerge w:val="continue"/>
                  <w:tcBorders>
                    <w:tl2br w:val="nil"/>
                    <w:tr2bl w:val="nil"/>
                  </w:tcBorders>
                  <w:vAlign w:val="center"/>
                </w:tcPr>
                <w:p>
                  <w:pPr>
                    <w:adjustRightInd w:val="0"/>
                    <w:snapToGrid w:val="0"/>
                    <w:jc w:val="center"/>
                    <w:rPr>
                      <w:color w:val="auto"/>
                      <w:szCs w:val="22"/>
                    </w:rPr>
                  </w:pPr>
                </w:p>
              </w:tc>
              <w:tc>
                <w:tcPr>
                  <w:tcW w:w="629" w:type="pct"/>
                  <w:gridSpan w:val="2"/>
                  <w:tcBorders>
                    <w:tl2br w:val="nil"/>
                    <w:tr2bl w:val="nil"/>
                  </w:tcBorders>
                  <w:vAlign w:val="center"/>
                </w:tcPr>
                <w:p>
                  <w:pPr>
                    <w:adjustRightInd w:val="0"/>
                    <w:snapToGrid w:val="0"/>
                    <w:jc w:val="center"/>
                    <w:rPr>
                      <w:color w:val="auto"/>
                      <w:szCs w:val="22"/>
                    </w:rPr>
                  </w:pPr>
                  <w:r>
                    <w:rPr>
                      <w:color w:val="auto"/>
                      <w:szCs w:val="22"/>
                    </w:rPr>
                    <w:t>噪   声</w:t>
                  </w:r>
                </w:p>
              </w:tc>
              <w:tc>
                <w:tcPr>
                  <w:tcW w:w="3617" w:type="pct"/>
                  <w:tcBorders>
                    <w:tl2br w:val="nil"/>
                    <w:tr2bl w:val="nil"/>
                  </w:tcBorders>
                  <w:vAlign w:val="center"/>
                </w:tcPr>
                <w:p>
                  <w:pPr>
                    <w:adjustRightInd w:val="0"/>
                    <w:snapToGrid w:val="0"/>
                    <w:ind w:firstLine="210" w:firstLineChars="100"/>
                    <w:jc w:val="left"/>
                    <w:rPr>
                      <w:color w:val="auto"/>
                      <w:kern w:val="0"/>
                      <w:szCs w:val="21"/>
                    </w:rPr>
                  </w:pPr>
                  <w:r>
                    <w:rPr>
                      <w:color w:val="auto"/>
                      <w:szCs w:val="22"/>
                    </w:rPr>
                    <w:t>选用低噪设备，合理安排作业时间。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343" w:type="pct"/>
                  <w:vMerge w:val="continue"/>
                  <w:tcBorders>
                    <w:tl2br w:val="nil"/>
                    <w:tr2bl w:val="nil"/>
                  </w:tcBorders>
                  <w:vAlign w:val="center"/>
                </w:tcPr>
                <w:p>
                  <w:pPr>
                    <w:adjustRightInd w:val="0"/>
                    <w:snapToGrid w:val="0"/>
                    <w:jc w:val="center"/>
                    <w:rPr>
                      <w:color w:val="auto"/>
                      <w:szCs w:val="22"/>
                    </w:rPr>
                  </w:pPr>
                </w:p>
              </w:tc>
              <w:tc>
                <w:tcPr>
                  <w:tcW w:w="629" w:type="pct"/>
                  <w:gridSpan w:val="2"/>
                  <w:tcBorders>
                    <w:tl2br w:val="nil"/>
                    <w:tr2bl w:val="nil"/>
                  </w:tcBorders>
                  <w:vAlign w:val="center"/>
                </w:tcPr>
                <w:p>
                  <w:pPr>
                    <w:adjustRightInd w:val="0"/>
                    <w:snapToGrid w:val="0"/>
                    <w:jc w:val="center"/>
                    <w:rPr>
                      <w:color w:val="auto"/>
                      <w:szCs w:val="22"/>
                    </w:rPr>
                  </w:pPr>
                  <w:r>
                    <w:rPr>
                      <w:color w:val="auto"/>
                      <w:szCs w:val="22"/>
                    </w:rPr>
                    <w:t>固体废物</w:t>
                  </w:r>
                </w:p>
              </w:tc>
              <w:tc>
                <w:tcPr>
                  <w:tcW w:w="3617" w:type="pct"/>
                  <w:tcBorders>
                    <w:tl2br w:val="nil"/>
                    <w:tr2bl w:val="nil"/>
                  </w:tcBorders>
                  <w:vAlign w:val="center"/>
                </w:tcPr>
                <w:p>
                  <w:pPr>
                    <w:adjustRightInd w:val="0"/>
                    <w:snapToGrid w:val="0"/>
                    <w:ind w:firstLine="210" w:firstLineChars="100"/>
                    <w:jc w:val="left"/>
                    <w:rPr>
                      <w:color w:val="auto"/>
                      <w:kern w:val="0"/>
                      <w:szCs w:val="21"/>
                    </w:rPr>
                  </w:pPr>
                  <w:r>
                    <w:rPr>
                      <w:rFonts w:hint="eastAsia"/>
                      <w:color w:val="auto"/>
                      <w:kern w:val="0"/>
                      <w:szCs w:val="21"/>
                    </w:rPr>
                    <w:t>①</w:t>
                  </w:r>
                  <w:r>
                    <w:rPr>
                      <w:rFonts w:hint="eastAsia"/>
                      <w:color w:val="auto"/>
                      <w:szCs w:val="22"/>
                    </w:rPr>
                    <w:t>项目</w:t>
                  </w:r>
                  <w:r>
                    <w:rPr>
                      <w:color w:val="auto"/>
                      <w:szCs w:val="22"/>
                    </w:rPr>
                    <w:t>排洪渠建设过程中的</w:t>
                  </w:r>
                  <w:r>
                    <w:rPr>
                      <w:rFonts w:hint="eastAsia"/>
                      <w:color w:val="auto"/>
                      <w:kern w:val="0"/>
                      <w:szCs w:val="21"/>
                    </w:rPr>
                    <w:t>土方用于周边洼地填平；</w:t>
                  </w:r>
                  <w:r>
                    <w:rPr>
                      <w:rFonts w:hint="eastAsia"/>
                      <w:bCs/>
                      <w:color w:val="auto"/>
                      <w:kern w:val="0"/>
                      <w:szCs w:val="21"/>
                    </w:rPr>
                    <w:t>建筑垃圾集中收集，包装物和金属等外卖处置，混凝土块、石块等就地用于场地平整填埋；</w:t>
                  </w:r>
                </w:p>
                <w:p>
                  <w:pPr>
                    <w:adjustRightInd w:val="0"/>
                    <w:snapToGrid w:val="0"/>
                    <w:ind w:firstLine="210" w:firstLineChars="100"/>
                    <w:jc w:val="left"/>
                    <w:rPr>
                      <w:color w:val="auto"/>
                      <w:kern w:val="0"/>
                      <w:szCs w:val="21"/>
                    </w:rPr>
                  </w:pPr>
                  <w:r>
                    <w:rPr>
                      <w:rFonts w:hint="eastAsia"/>
                      <w:color w:val="auto"/>
                      <w:kern w:val="0"/>
                      <w:szCs w:val="21"/>
                    </w:rPr>
                    <w:t>②施工人员生活依托煤矿现有设施，生活垃圾由煤矿统一处置。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343" w:type="pct"/>
                  <w:vMerge w:val="continue"/>
                  <w:tcBorders>
                    <w:tl2br w:val="nil"/>
                    <w:tr2bl w:val="nil"/>
                  </w:tcBorders>
                  <w:vAlign w:val="center"/>
                </w:tcPr>
                <w:p>
                  <w:pPr>
                    <w:adjustRightInd w:val="0"/>
                    <w:snapToGrid w:val="0"/>
                    <w:jc w:val="center"/>
                    <w:rPr>
                      <w:color w:val="auto"/>
                      <w:szCs w:val="22"/>
                    </w:rPr>
                  </w:pPr>
                </w:p>
              </w:tc>
              <w:tc>
                <w:tcPr>
                  <w:tcW w:w="629" w:type="pct"/>
                  <w:gridSpan w:val="2"/>
                  <w:tcBorders>
                    <w:tl2br w:val="nil"/>
                    <w:tr2bl w:val="nil"/>
                  </w:tcBorders>
                  <w:vAlign w:val="center"/>
                </w:tcPr>
                <w:p>
                  <w:pPr>
                    <w:adjustRightInd w:val="0"/>
                    <w:snapToGrid w:val="0"/>
                    <w:jc w:val="center"/>
                    <w:rPr>
                      <w:color w:val="auto"/>
                      <w:szCs w:val="22"/>
                    </w:rPr>
                  </w:pPr>
                  <w:r>
                    <w:rPr>
                      <w:rFonts w:hint="eastAsia"/>
                      <w:color w:val="auto"/>
                      <w:szCs w:val="22"/>
                    </w:rPr>
                    <w:t>生态治理</w:t>
                  </w:r>
                </w:p>
              </w:tc>
              <w:tc>
                <w:tcPr>
                  <w:tcW w:w="3617" w:type="pct"/>
                  <w:tcBorders>
                    <w:tl2br w:val="nil"/>
                    <w:tr2bl w:val="nil"/>
                  </w:tcBorders>
                  <w:vAlign w:val="center"/>
                </w:tcPr>
                <w:p>
                  <w:pPr>
                    <w:adjustRightInd w:val="0"/>
                    <w:snapToGrid w:val="0"/>
                    <w:ind w:firstLine="210" w:firstLineChars="100"/>
                    <w:jc w:val="left"/>
                    <w:rPr>
                      <w:color w:val="auto"/>
                      <w:szCs w:val="21"/>
                      <w:lang w:bidi="ar"/>
                    </w:rPr>
                  </w:pPr>
                  <w:r>
                    <w:rPr>
                      <w:rFonts w:hint="eastAsia" w:ascii="宋体" w:hAnsi="宋体"/>
                      <w:color w:val="auto"/>
                      <w:szCs w:val="21"/>
                    </w:rPr>
                    <w:t>①</w:t>
                  </w:r>
                  <w:r>
                    <w:rPr>
                      <w:color w:val="auto"/>
                      <w:szCs w:val="21"/>
                    </w:rPr>
                    <w:t>严格控制作业范围，合理安排工期</w:t>
                  </w:r>
                  <w:r>
                    <w:rPr>
                      <w:rFonts w:hint="eastAsia"/>
                      <w:color w:val="auto"/>
                      <w:szCs w:val="21"/>
                    </w:rPr>
                    <w:t>，</w:t>
                  </w:r>
                  <w:r>
                    <w:rPr>
                      <w:color w:val="auto"/>
                      <w:szCs w:val="21"/>
                    </w:rPr>
                    <w:t>土石方及时回填</w:t>
                  </w:r>
                  <w:r>
                    <w:rPr>
                      <w:rFonts w:hint="eastAsia"/>
                      <w:color w:val="auto"/>
                      <w:szCs w:val="21"/>
                    </w:rPr>
                    <w:t>；</w:t>
                  </w:r>
                  <w:r>
                    <w:rPr>
                      <w:color w:val="auto"/>
                      <w:szCs w:val="21"/>
                    </w:rPr>
                    <w:t>临时占地</w:t>
                  </w:r>
                  <w:r>
                    <w:rPr>
                      <w:rFonts w:hint="eastAsia"/>
                      <w:color w:val="auto"/>
                      <w:szCs w:val="21"/>
                    </w:rPr>
                    <w:t>进行</w:t>
                  </w:r>
                  <w:r>
                    <w:rPr>
                      <w:color w:val="auto"/>
                      <w:spacing w:val="-1"/>
                      <w:szCs w:val="21"/>
                      <w:lang w:bidi="ar"/>
                    </w:rPr>
                    <w:t>机械土地整治</w:t>
                  </w:r>
                  <w:r>
                    <w:rPr>
                      <w:rFonts w:hint="eastAsia"/>
                      <w:color w:val="auto"/>
                      <w:spacing w:val="-1"/>
                      <w:szCs w:val="21"/>
                      <w:lang w:bidi="ar"/>
                    </w:rPr>
                    <w:t>，并</w:t>
                  </w:r>
                  <w:r>
                    <w:rPr>
                      <w:color w:val="auto"/>
                      <w:szCs w:val="21"/>
                      <w:lang w:bidi="ar"/>
                    </w:rPr>
                    <w:t>采取灌草结合措施进行植被恢复</w:t>
                  </w:r>
                  <w:r>
                    <w:rPr>
                      <w:rFonts w:hint="eastAsia"/>
                      <w:color w:val="auto"/>
                      <w:szCs w:val="21"/>
                      <w:lang w:bidi="ar"/>
                    </w:rPr>
                    <w:t>；</w:t>
                  </w:r>
                </w:p>
                <w:p>
                  <w:pPr>
                    <w:pStyle w:val="2"/>
                    <w:ind w:firstLine="210"/>
                    <w:rPr>
                      <w:color w:val="auto"/>
                      <w:lang w:bidi="ar"/>
                    </w:rPr>
                  </w:pPr>
                  <w:r>
                    <w:rPr>
                      <w:rFonts w:hint="eastAsia" w:ascii="宋体" w:hAnsi="宋体"/>
                      <w:color w:val="auto"/>
                      <w:lang w:bidi="ar"/>
                    </w:rPr>
                    <w:t>②</w:t>
                  </w:r>
                  <w:r>
                    <w:rPr>
                      <w:rFonts w:hint="eastAsia"/>
                      <w:color w:val="auto"/>
                      <w:lang w:bidi="ar"/>
                    </w:rPr>
                    <w:t>落实主体工程内容，即矸石场表层沿排洪渠方向进行带坡平整，平整后复垦种植苜蓿，播种面积</w:t>
                  </w:r>
                  <w:r>
                    <w:rPr>
                      <w:color w:val="auto"/>
                      <w:lang w:bidi="ar"/>
                    </w:rPr>
                    <w:t>2.5hm</w:t>
                  </w:r>
                  <w:r>
                    <w:rPr>
                      <w:color w:val="auto"/>
                      <w:vertAlign w:val="superscript"/>
                      <w:lang w:bidi="ar"/>
                    </w:rPr>
                    <w:t>2</w:t>
                  </w:r>
                  <w:r>
                    <w:rPr>
                      <w:rFonts w:hint="eastAsia"/>
                      <w:color w:val="auto"/>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b/>
                      <w:color w:val="auto"/>
                      <w:szCs w:val="22"/>
                    </w:rPr>
                  </w:pPr>
                </w:p>
              </w:tc>
              <w:tc>
                <w:tcPr>
                  <w:tcW w:w="972" w:type="pct"/>
                  <w:gridSpan w:val="3"/>
                  <w:tcBorders>
                    <w:tl2br w:val="nil"/>
                    <w:tr2bl w:val="nil"/>
                  </w:tcBorders>
                  <w:vAlign w:val="center"/>
                </w:tcPr>
                <w:p>
                  <w:pPr>
                    <w:adjustRightInd w:val="0"/>
                    <w:snapToGrid w:val="0"/>
                    <w:jc w:val="center"/>
                    <w:rPr>
                      <w:color w:val="auto"/>
                      <w:szCs w:val="22"/>
                    </w:rPr>
                  </w:pPr>
                  <w:r>
                    <w:rPr>
                      <w:rFonts w:hint="eastAsia"/>
                      <w:color w:val="auto"/>
                      <w:szCs w:val="22"/>
                    </w:rPr>
                    <w:t>运营期污染治理</w:t>
                  </w:r>
                </w:p>
              </w:tc>
              <w:tc>
                <w:tcPr>
                  <w:tcW w:w="3617" w:type="pct"/>
                  <w:tcBorders>
                    <w:tl2br w:val="nil"/>
                    <w:tr2bl w:val="nil"/>
                  </w:tcBorders>
                  <w:vAlign w:val="center"/>
                </w:tcPr>
                <w:p>
                  <w:pPr>
                    <w:adjustRightInd w:val="0"/>
                    <w:snapToGrid w:val="0"/>
                    <w:ind w:firstLine="210" w:firstLineChars="100"/>
                    <w:jc w:val="left"/>
                    <w:rPr>
                      <w:color w:val="auto"/>
                      <w:szCs w:val="21"/>
                    </w:rPr>
                  </w:pPr>
                  <w:r>
                    <w:rPr>
                      <w:rFonts w:hint="eastAsia"/>
                      <w:color w:val="auto"/>
                      <w:szCs w:val="22"/>
                    </w:rPr>
                    <w:t>项目</w:t>
                  </w:r>
                  <w:r>
                    <w:rPr>
                      <w:color w:val="auto"/>
                      <w:szCs w:val="22"/>
                    </w:rPr>
                    <w:t>运营期间无</w:t>
                  </w:r>
                  <w:r>
                    <w:rPr>
                      <w:rFonts w:hint="eastAsia"/>
                      <w:color w:val="auto"/>
                      <w:szCs w:val="22"/>
                    </w:rPr>
                    <w:t>新增</w:t>
                  </w:r>
                  <w:r>
                    <w:rPr>
                      <w:color w:val="auto"/>
                      <w:szCs w:val="22"/>
                    </w:rPr>
                    <w:t>生产</w:t>
                  </w:r>
                  <w:r>
                    <w:rPr>
                      <w:rFonts w:hint="eastAsia"/>
                      <w:color w:val="auto"/>
                      <w:szCs w:val="22"/>
                    </w:rPr>
                    <w:t>、</w:t>
                  </w:r>
                  <w:r>
                    <w:rPr>
                      <w:color w:val="auto"/>
                      <w:szCs w:val="22"/>
                    </w:rPr>
                    <w:t>生活污水</w:t>
                  </w:r>
                  <w:r>
                    <w:rPr>
                      <w:rFonts w:hint="eastAsia"/>
                      <w:color w:val="auto"/>
                      <w:szCs w:val="22"/>
                    </w:rPr>
                    <w:t>，无新增固废产生</w:t>
                  </w: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color w:val="auto"/>
                      <w:szCs w:val="22"/>
                    </w:rPr>
                  </w:pPr>
                </w:p>
              </w:tc>
              <w:tc>
                <w:tcPr>
                  <w:tcW w:w="972" w:type="pct"/>
                  <w:gridSpan w:val="3"/>
                  <w:tcBorders>
                    <w:tl2br w:val="nil"/>
                    <w:tr2bl w:val="nil"/>
                  </w:tcBorders>
                  <w:vAlign w:val="center"/>
                </w:tcPr>
                <w:p>
                  <w:pPr>
                    <w:adjustRightInd w:val="0"/>
                    <w:snapToGrid w:val="0"/>
                    <w:jc w:val="center"/>
                    <w:rPr>
                      <w:color w:val="auto"/>
                      <w:szCs w:val="22"/>
                    </w:rPr>
                  </w:pPr>
                  <w:r>
                    <w:rPr>
                      <w:color w:val="auto"/>
                      <w:szCs w:val="22"/>
                    </w:rPr>
                    <w:t>环境风险</w:t>
                  </w:r>
                </w:p>
              </w:tc>
              <w:tc>
                <w:tcPr>
                  <w:tcW w:w="3617" w:type="pct"/>
                  <w:tcBorders>
                    <w:tl2br w:val="nil"/>
                    <w:tr2bl w:val="nil"/>
                  </w:tcBorders>
                  <w:vAlign w:val="center"/>
                </w:tcPr>
                <w:p>
                  <w:pPr>
                    <w:adjustRightInd w:val="0"/>
                    <w:snapToGrid w:val="0"/>
                    <w:ind w:firstLine="210" w:firstLineChars="100"/>
                    <w:jc w:val="left"/>
                    <w:rPr>
                      <w:color w:val="auto"/>
                      <w:szCs w:val="22"/>
                    </w:rPr>
                  </w:pPr>
                  <w:r>
                    <w:rPr>
                      <w:color w:val="auto"/>
                      <w:szCs w:val="21"/>
                    </w:rPr>
                    <w:t>加强</w:t>
                  </w:r>
                  <w:r>
                    <w:rPr>
                      <w:rFonts w:hint="eastAsia"/>
                      <w:color w:val="auto"/>
                      <w:szCs w:val="21"/>
                    </w:rPr>
                    <w:t>环境风险</w:t>
                  </w:r>
                  <w:r>
                    <w:rPr>
                      <w:color w:val="auto"/>
                      <w:szCs w:val="21"/>
                    </w:rPr>
                    <w:t>管理</w:t>
                  </w:r>
                  <w:r>
                    <w:rPr>
                      <w:rFonts w:hint="eastAsia"/>
                      <w:color w:val="auto"/>
                      <w:szCs w:val="21"/>
                    </w:rPr>
                    <w:t>，开展排洪渠日常巡护及地基</w:t>
                  </w:r>
                  <w:r>
                    <w:rPr>
                      <w:rFonts w:hint="eastAsia"/>
                      <w:color w:val="auto"/>
                      <w:szCs w:val="22"/>
                    </w:rPr>
                    <w:t>形变</w:t>
                  </w:r>
                  <w:r>
                    <w:rPr>
                      <w:color w:val="auto"/>
                      <w:szCs w:val="22"/>
                    </w:rPr>
                    <w:t>观测</w:t>
                  </w:r>
                  <w:r>
                    <w:rPr>
                      <w:rFonts w:hint="eastAsia"/>
                      <w:color w:val="auto"/>
                      <w:szCs w:val="22"/>
                    </w:rPr>
                    <w:t>，按照区域防汛要求</w:t>
                  </w:r>
                  <w:r>
                    <w:rPr>
                      <w:color w:val="auto"/>
                      <w:szCs w:val="22"/>
                    </w:rPr>
                    <w:t>应急预案，定期进行应急</w:t>
                  </w:r>
                  <w:r>
                    <w:rPr>
                      <w:rFonts w:hint="eastAsia"/>
                      <w:color w:val="auto"/>
                      <w:szCs w:val="22"/>
                    </w:rPr>
                    <w:t>疏散演练</w:t>
                  </w:r>
                  <w:r>
                    <w:rPr>
                      <w:color w:val="auto"/>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 w:type="pct"/>
                  <w:vMerge w:val="continue"/>
                  <w:tcBorders>
                    <w:tl2br w:val="nil"/>
                    <w:tr2bl w:val="nil"/>
                  </w:tcBorders>
                  <w:vAlign w:val="center"/>
                </w:tcPr>
                <w:p>
                  <w:pPr>
                    <w:adjustRightInd w:val="0"/>
                    <w:snapToGrid w:val="0"/>
                    <w:jc w:val="center"/>
                    <w:rPr>
                      <w:color w:val="auto"/>
                      <w:szCs w:val="22"/>
                    </w:rPr>
                  </w:pPr>
                </w:p>
              </w:tc>
              <w:tc>
                <w:tcPr>
                  <w:tcW w:w="972" w:type="pct"/>
                  <w:gridSpan w:val="3"/>
                  <w:tcBorders>
                    <w:tl2br w:val="nil"/>
                    <w:tr2bl w:val="nil"/>
                  </w:tcBorders>
                  <w:vAlign w:val="center"/>
                </w:tcPr>
                <w:p>
                  <w:pPr>
                    <w:adjustRightInd w:val="0"/>
                    <w:snapToGrid w:val="0"/>
                    <w:jc w:val="center"/>
                    <w:rPr>
                      <w:color w:val="auto"/>
                      <w:szCs w:val="22"/>
                    </w:rPr>
                  </w:pPr>
                  <w:r>
                    <w:rPr>
                      <w:color w:val="auto"/>
                      <w:szCs w:val="22"/>
                    </w:rPr>
                    <w:t>环境监测</w:t>
                  </w:r>
                </w:p>
              </w:tc>
              <w:tc>
                <w:tcPr>
                  <w:tcW w:w="3617" w:type="pct"/>
                  <w:tcBorders>
                    <w:tl2br w:val="nil"/>
                    <w:tr2bl w:val="nil"/>
                  </w:tcBorders>
                  <w:vAlign w:val="center"/>
                </w:tcPr>
                <w:p>
                  <w:pPr>
                    <w:adjustRightInd w:val="0"/>
                    <w:snapToGrid w:val="0"/>
                    <w:ind w:firstLine="210" w:firstLineChars="100"/>
                    <w:jc w:val="left"/>
                    <w:rPr>
                      <w:color w:val="auto"/>
                      <w:szCs w:val="22"/>
                    </w:rPr>
                  </w:pPr>
                  <w:r>
                    <w:rPr>
                      <w:rFonts w:hint="eastAsia"/>
                      <w:color w:val="auto"/>
                      <w:szCs w:val="22"/>
                    </w:rPr>
                    <w:t>开展矸石场区域地下水长期跟踪监测。</w:t>
                  </w:r>
                </w:p>
              </w:tc>
            </w:tr>
          </w:tbl>
          <w:p>
            <w:pPr>
              <w:autoSpaceDE w:val="0"/>
              <w:autoSpaceDN w:val="0"/>
              <w:adjustRightInd w:val="0"/>
              <w:snapToGrid w:val="0"/>
              <w:spacing w:before="72" w:beforeLines="30" w:line="360" w:lineRule="auto"/>
              <w:outlineLvl w:val="1"/>
              <w:rPr>
                <w:b/>
                <w:bCs/>
                <w:color w:val="auto"/>
                <w:kern w:val="0"/>
                <w:sz w:val="24"/>
              </w:rPr>
            </w:pPr>
            <w:r>
              <w:rPr>
                <w:b/>
                <w:bCs/>
                <w:color w:val="auto"/>
                <w:kern w:val="0"/>
                <w:sz w:val="24"/>
              </w:rPr>
              <w:t>2.2.4</w:t>
            </w:r>
            <w:r>
              <w:rPr>
                <w:rFonts w:hint="eastAsia"/>
                <w:b/>
                <w:bCs/>
                <w:color w:val="auto"/>
                <w:kern w:val="0"/>
                <w:sz w:val="24"/>
              </w:rPr>
              <w:t>主体</w:t>
            </w:r>
            <w:r>
              <w:rPr>
                <w:b/>
                <w:bCs/>
                <w:color w:val="auto"/>
                <w:kern w:val="0"/>
                <w:sz w:val="24"/>
              </w:rPr>
              <w:t>工程</w:t>
            </w:r>
          </w:p>
          <w:p>
            <w:pPr>
              <w:pStyle w:val="6"/>
              <w:keepNext w:val="0"/>
              <w:keepLines w:val="0"/>
              <w:adjustRightInd w:val="0"/>
              <w:snapToGrid w:val="0"/>
              <w:spacing w:before="0" w:after="0"/>
              <w:ind w:firstLine="0" w:firstLineChars="0"/>
              <w:rPr>
                <w:rFonts w:ascii="Times New Roman" w:hAnsi="Times New Roman" w:eastAsia="宋体"/>
                <w:bCs/>
                <w:color w:val="auto"/>
                <w:sz w:val="24"/>
              </w:rPr>
            </w:pPr>
            <w:r>
              <w:rPr>
                <w:rFonts w:ascii="Times New Roman" w:hAnsi="Times New Roman" w:eastAsia="宋体"/>
                <w:bCs/>
                <w:color w:val="auto"/>
                <w:sz w:val="24"/>
              </w:rPr>
              <w:t>2.2.4</w:t>
            </w:r>
            <w:r>
              <w:rPr>
                <w:rFonts w:hint="eastAsia" w:ascii="Times New Roman" w:hAnsi="Times New Roman" w:eastAsia="宋体"/>
                <w:bCs/>
                <w:color w:val="auto"/>
                <w:sz w:val="24"/>
              </w:rPr>
              <w:t>.1原泄洪洞封堵</w:t>
            </w:r>
          </w:p>
          <w:p>
            <w:pPr>
              <w:pStyle w:val="6"/>
              <w:keepNext w:val="0"/>
              <w:keepLines w:val="0"/>
              <w:adjustRightInd w:val="0"/>
              <w:snapToGrid w:val="0"/>
              <w:spacing w:before="0" w:after="0" w:line="360" w:lineRule="auto"/>
              <w:ind w:firstLine="480"/>
              <w:rPr>
                <w:rFonts w:ascii="Times New Roman" w:hAnsi="Times New Roman" w:eastAsia="宋体"/>
                <w:b w:val="0"/>
                <w:color w:val="auto"/>
                <w:sz w:val="24"/>
              </w:rPr>
            </w:pPr>
            <w:r>
              <w:rPr>
                <w:rFonts w:hint="eastAsia" w:ascii="Times New Roman" w:hAnsi="Times New Roman" w:eastAsia="宋体"/>
                <w:b w:val="0"/>
                <w:color w:val="auto"/>
                <w:sz w:val="24"/>
              </w:rPr>
              <w:t>本项目拟对范新庄水库原泄洪洞进行封堵处理(两侧封堵、中间灌浆)。</w:t>
            </w:r>
          </w:p>
          <w:p>
            <w:pPr>
              <w:pStyle w:val="6"/>
              <w:keepNext w:val="0"/>
              <w:keepLines w:val="0"/>
              <w:adjustRightInd w:val="0"/>
              <w:snapToGrid w:val="0"/>
              <w:spacing w:before="0" w:after="0" w:line="360" w:lineRule="auto"/>
              <w:ind w:firstLine="480"/>
              <w:rPr>
                <w:rFonts w:ascii="Times New Roman" w:hAnsi="Times New Roman" w:eastAsia="宋体"/>
                <w:b w:val="0"/>
                <w:color w:val="auto"/>
                <w:sz w:val="24"/>
              </w:rPr>
            </w:pPr>
            <w:r>
              <w:rPr>
                <w:rFonts w:hint="eastAsia" w:ascii="Times New Roman" w:hAnsi="Times New Roman" w:eastAsia="宋体"/>
                <w:b w:val="0"/>
                <w:color w:val="auto"/>
                <w:sz w:val="24"/>
              </w:rPr>
              <w:t>采用纯水泥反压填充灌浆封堵涵洞外壁与土坝体之间的渗漏通道，与采用粘土砂浆填充灌浆封堵涵洞内部输水通道两者相结合，能很好地封堵坝下废弃涵洞，消除大坝的安全隐患。</w:t>
            </w:r>
          </w:p>
          <w:p>
            <w:pPr>
              <w:pStyle w:val="6"/>
              <w:keepNext w:val="0"/>
              <w:keepLines w:val="0"/>
              <w:adjustRightInd w:val="0"/>
              <w:snapToGrid w:val="0"/>
              <w:spacing w:before="0" w:after="0" w:line="360" w:lineRule="auto"/>
              <w:ind w:firstLine="480"/>
              <w:rPr>
                <w:rFonts w:ascii="Times New Roman" w:hAnsi="Times New Roman" w:eastAsia="宋体"/>
                <w:b w:val="0"/>
                <w:color w:val="auto"/>
                <w:sz w:val="24"/>
              </w:rPr>
            </w:pPr>
            <w:r>
              <w:rPr>
                <w:rFonts w:hint="eastAsia" w:ascii="Times New Roman" w:hAnsi="Times New Roman" w:eastAsia="宋体"/>
                <w:b w:val="0"/>
                <w:color w:val="auto"/>
                <w:sz w:val="24"/>
              </w:rPr>
              <w:fldChar w:fldCharType="begin"/>
            </w:r>
            <w:r>
              <w:rPr>
                <w:rFonts w:hint="eastAsia" w:ascii="Times New Roman" w:hAnsi="Times New Roman" w:eastAsia="宋体"/>
                <w:b w:val="0"/>
                <w:color w:val="auto"/>
                <w:sz w:val="24"/>
              </w:rPr>
              <w:instrText xml:space="preserve"> = 1 \* GB2 \* MERGEFORMAT </w:instrText>
            </w:r>
            <w:r>
              <w:rPr>
                <w:rFonts w:hint="eastAsia" w:ascii="Times New Roman" w:hAnsi="Times New Roman" w:eastAsia="宋体"/>
                <w:b w:val="0"/>
                <w:color w:val="auto"/>
                <w:sz w:val="24"/>
              </w:rPr>
              <w:fldChar w:fldCharType="separate"/>
            </w:r>
            <w:r>
              <w:rPr>
                <w:rFonts w:hint="eastAsia" w:ascii="Times New Roman" w:hAnsi="Times New Roman" w:eastAsia="宋体"/>
                <w:b w:val="0"/>
                <w:color w:val="auto"/>
                <w:sz w:val="24"/>
              </w:rPr>
              <w:t>⑴</w:t>
            </w:r>
            <w:r>
              <w:rPr>
                <w:rFonts w:hint="eastAsia" w:ascii="Times New Roman" w:hAnsi="Times New Roman" w:eastAsia="宋体"/>
                <w:b w:val="0"/>
                <w:color w:val="auto"/>
                <w:sz w:val="24"/>
              </w:rPr>
              <w:fldChar w:fldCharType="end"/>
            </w:r>
            <w:r>
              <w:rPr>
                <w:rFonts w:hint="eastAsia" w:ascii="Times New Roman" w:hAnsi="Times New Roman" w:eastAsia="宋体"/>
                <w:b w:val="0"/>
                <w:color w:val="auto"/>
                <w:sz w:val="24"/>
              </w:rPr>
              <w:t>涵洞灌浆处理（粘土充填灌浆）</w:t>
            </w:r>
          </w:p>
          <w:p>
            <w:pPr>
              <w:pStyle w:val="6"/>
              <w:keepNext w:val="0"/>
              <w:keepLines w:val="0"/>
              <w:adjustRightInd w:val="0"/>
              <w:snapToGrid w:val="0"/>
              <w:spacing w:before="0" w:after="0" w:line="360" w:lineRule="auto"/>
              <w:ind w:firstLine="480"/>
              <w:rPr>
                <w:rFonts w:ascii="Times New Roman" w:hAnsi="Times New Roman" w:eastAsia="宋体"/>
                <w:b w:val="0"/>
                <w:color w:val="auto"/>
                <w:sz w:val="24"/>
              </w:rPr>
            </w:pPr>
            <w:r>
              <w:rPr>
                <w:rFonts w:hint="eastAsia" w:ascii="Times New Roman" w:hAnsi="Times New Roman" w:eastAsia="宋体"/>
                <w:b w:val="0"/>
                <w:color w:val="auto"/>
                <w:sz w:val="24"/>
              </w:rPr>
              <w:t>坝下涵洞两侧采取灌浆进行处理松散土体。</w:t>
            </w:r>
          </w:p>
          <w:p>
            <w:pPr>
              <w:pStyle w:val="6"/>
              <w:keepNext w:val="0"/>
              <w:keepLines w:val="0"/>
              <w:adjustRightInd w:val="0"/>
              <w:snapToGrid w:val="0"/>
              <w:spacing w:before="0" w:after="0" w:line="360" w:lineRule="auto"/>
              <w:ind w:firstLine="480"/>
              <w:rPr>
                <w:rFonts w:ascii="Times New Roman" w:hAnsi="Times New Roman" w:eastAsia="宋体"/>
                <w:b w:val="0"/>
                <w:color w:val="auto"/>
                <w:sz w:val="24"/>
              </w:rPr>
            </w:pPr>
            <w:r>
              <w:rPr>
                <w:rFonts w:hint="eastAsia" w:ascii="Times New Roman" w:hAnsi="Times New Roman" w:eastAsia="宋体"/>
                <w:b w:val="0"/>
                <w:color w:val="auto"/>
                <w:sz w:val="24"/>
              </w:rPr>
              <w:t>灌浆的目的主要是堵塞裂缝，采用主要施工方法为充填灌注粘土浆液进行封堵处理。采用充填式灌浆技术处理，采用泥浆灌注。灌浆所用的浆液由粘性土制成（泥浆）。考虑到泥浆固结后与原坝料土变形的协调性，泥浆中不掺入水泥。</w:t>
            </w:r>
          </w:p>
          <w:p>
            <w:pPr>
              <w:pStyle w:val="6"/>
              <w:keepNext w:val="0"/>
              <w:keepLines w:val="0"/>
              <w:adjustRightInd w:val="0"/>
              <w:snapToGrid w:val="0"/>
              <w:spacing w:before="0" w:after="0" w:line="360" w:lineRule="auto"/>
              <w:ind w:firstLine="480"/>
              <w:rPr>
                <w:rFonts w:ascii="Times New Roman" w:hAnsi="Times New Roman" w:eastAsia="宋体"/>
                <w:b w:val="0"/>
                <w:color w:val="auto"/>
                <w:sz w:val="24"/>
              </w:rPr>
            </w:pPr>
            <w:r>
              <w:rPr>
                <w:rFonts w:hint="eastAsia" w:ascii="Times New Roman" w:hAnsi="Times New Roman" w:eastAsia="宋体"/>
                <w:b w:val="0"/>
                <w:color w:val="auto"/>
                <w:sz w:val="24"/>
              </w:rPr>
              <w:fldChar w:fldCharType="begin"/>
            </w:r>
            <w:r>
              <w:rPr>
                <w:rFonts w:hint="eastAsia" w:ascii="Times New Roman" w:hAnsi="Times New Roman" w:eastAsia="宋体"/>
                <w:b w:val="0"/>
                <w:color w:val="auto"/>
                <w:sz w:val="24"/>
              </w:rPr>
              <w:instrText xml:space="preserve"> = 2 \* GB2 \* MERGEFORMAT </w:instrText>
            </w:r>
            <w:r>
              <w:rPr>
                <w:rFonts w:hint="eastAsia" w:ascii="Times New Roman" w:hAnsi="Times New Roman" w:eastAsia="宋体"/>
                <w:b w:val="0"/>
                <w:color w:val="auto"/>
                <w:sz w:val="24"/>
              </w:rPr>
              <w:fldChar w:fldCharType="separate"/>
            </w:r>
            <w:r>
              <w:rPr>
                <w:rFonts w:hint="eastAsia" w:ascii="宋体" w:hAnsi="宋体" w:eastAsia="宋体" w:cs="宋体"/>
                <w:b w:val="0"/>
                <w:color w:val="auto"/>
                <w:sz w:val="24"/>
              </w:rPr>
              <w:t>⑵</w:t>
            </w:r>
            <w:r>
              <w:rPr>
                <w:rFonts w:hint="eastAsia" w:ascii="Times New Roman" w:hAnsi="Times New Roman" w:eastAsia="宋体"/>
                <w:b w:val="0"/>
                <w:color w:val="auto"/>
                <w:sz w:val="24"/>
              </w:rPr>
              <w:fldChar w:fldCharType="end"/>
            </w:r>
            <w:r>
              <w:rPr>
                <w:rFonts w:hint="eastAsia" w:ascii="Times New Roman" w:hAnsi="Times New Roman" w:eastAsia="宋体"/>
                <w:b w:val="0"/>
                <w:color w:val="auto"/>
                <w:sz w:val="24"/>
              </w:rPr>
              <w:t>涵洞封堵灌浆处理（水泥浆充填）</w:t>
            </w:r>
          </w:p>
          <w:p>
            <w:pPr>
              <w:pStyle w:val="6"/>
              <w:keepNext w:val="0"/>
              <w:keepLines w:val="0"/>
              <w:adjustRightInd w:val="0"/>
              <w:snapToGrid w:val="0"/>
              <w:spacing w:before="0" w:after="0" w:line="360" w:lineRule="auto"/>
              <w:ind w:firstLine="480"/>
              <w:rPr>
                <w:rFonts w:ascii="Times New Roman" w:hAnsi="Times New Roman" w:eastAsia="宋体"/>
                <w:b w:val="0"/>
                <w:color w:val="auto"/>
                <w:sz w:val="24"/>
              </w:rPr>
            </w:pPr>
            <w:r>
              <w:rPr>
                <w:rFonts w:hint="eastAsia" w:ascii="Times New Roman" w:hAnsi="Times New Roman" w:eastAsia="宋体"/>
                <w:b w:val="0"/>
                <w:color w:val="auto"/>
                <w:sz w:val="24"/>
              </w:rPr>
              <w:t>封堵堵头布置在涵洞的进出口，封堵长度对涵洞进行全部封堵。采用水泥粘土砂浆填充封堵。在封堵段内沿涵洞顶部安装3根灌浆管、1排气排水管，封堵段两端设砼堵头，砼堵头断面尺寸为宽1.7m，高4.8m。</w:t>
            </w:r>
          </w:p>
          <w:p>
            <w:pPr>
              <w:pStyle w:val="5"/>
              <w:keepNext w:val="0"/>
              <w:keepLines w:val="0"/>
              <w:rPr>
                <w:color w:val="auto"/>
                <w:sz w:val="24"/>
                <w:szCs w:val="24"/>
              </w:rPr>
            </w:pPr>
            <w:r>
              <w:rPr>
                <w:color w:val="auto"/>
                <w:sz w:val="24"/>
                <w:szCs w:val="24"/>
              </w:rPr>
              <w:t>2.2.4</w:t>
            </w:r>
            <w:r>
              <w:rPr>
                <w:rFonts w:hint="eastAsia"/>
                <w:color w:val="auto"/>
                <w:sz w:val="24"/>
                <w:szCs w:val="24"/>
              </w:rPr>
              <w:t>.2泄洪洞进口段</w:t>
            </w:r>
          </w:p>
          <w:p>
            <w:pPr>
              <w:pStyle w:val="6"/>
              <w:keepNext w:val="0"/>
              <w:keepLines w:val="0"/>
              <w:adjustRightInd w:val="0"/>
              <w:snapToGrid w:val="0"/>
              <w:spacing w:before="0" w:after="0" w:line="360" w:lineRule="auto"/>
              <w:ind w:firstLine="480"/>
              <w:rPr>
                <w:rFonts w:ascii="Times New Roman" w:hAnsi="Times New Roman" w:eastAsia="宋体"/>
                <w:b w:val="0"/>
                <w:color w:val="auto"/>
                <w:sz w:val="24"/>
              </w:rPr>
            </w:pPr>
            <w:r>
              <w:rPr>
                <w:rFonts w:hint="eastAsia" w:ascii="Times New Roman" w:hAnsi="Times New Roman" w:eastAsia="宋体"/>
                <w:b w:val="0"/>
                <w:color w:val="auto"/>
                <w:sz w:val="24"/>
              </w:rPr>
              <w:t>在范新庄水库左坝肩新建泄洪洞，洪洞前设置</w:t>
            </w:r>
            <w:r>
              <w:rPr>
                <w:rFonts w:hint="eastAsia" w:ascii="Times New Roman" w:hAnsi="Times New Roman" w:eastAsia="宋体"/>
                <w:b w:val="0"/>
                <w:color w:val="auto"/>
                <w:sz w:val="24"/>
                <w:lang w:val="eu-ES"/>
              </w:rPr>
              <w:t>进口段，</w:t>
            </w:r>
            <w:r>
              <w:rPr>
                <w:rFonts w:hint="eastAsia" w:ascii="Times New Roman" w:hAnsi="Times New Roman" w:eastAsia="宋体"/>
                <w:b w:val="0"/>
                <w:color w:val="auto"/>
                <w:sz w:val="24"/>
              </w:rPr>
              <w:t>根据实际地形布设成八字墙</w:t>
            </w:r>
            <w:r>
              <w:rPr>
                <w:rFonts w:hint="eastAsia" w:ascii="Times New Roman" w:hAnsi="Times New Roman" w:eastAsia="宋体"/>
                <w:b w:val="0"/>
                <w:color w:val="auto"/>
                <w:sz w:val="24"/>
                <w:lang w:val="eu-ES"/>
              </w:rPr>
              <w:t>钢筋砼</w:t>
            </w:r>
            <w:r>
              <w:rPr>
                <w:rFonts w:hint="eastAsia" w:ascii="Times New Roman" w:hAnsi="Times New Roman" w:eastAsia="宋体"/>
                <w:b w:val="0"/>
                <w:color w:val="auto"/>
                <w:sz w:val="24"/>
              </w:rPr>
              <w:t>挡土形式，</w:t>
            </w:r>
            <w:r>
              <w:rPr>
                <w:rFonts w:hint="eastAsia" w:ascii="Times New Roman" w:hAnsi="Times New Roman" w:eastAsia="宋体"/>
                <w:b w:val="0"/>
                <w:color w:val="auto"/>
                <w:sz w:val="24"/>
                <w:lang w:val="eu-ES"/>
              </w:rPr>
              <w:t>顺水流方向长</w:t>
            </w:r>
            <w:r>
              <w:rPr>
                <w:rFonts w:hint="eastAsia" w:ascii="Times New Roman" w:hAnsi="Times New Roman" w:eastAsia="宋体"/>
                <w:b w:val="0"/>
                <w:color w:val="auto"/>
                <w:sz w:val="24"/>
              </w:rPr>
              <w:t>8m</w:t>
            </w:r>
            <w:r>
              <w:rPr>
                <w:rFonts w:hint="eastAsia" w:ascii="Times New Roman" w:hAnsi="Times New Roman" w:eastAsia="宋体"/>
                <w:b w:val="0"/>
                <w:color w:val="auto"/>
                <w:sz w:val="24"/>
                <w:lang w:val="eu-ES"/>
              </w:rPr>
              <w:t>，</w:t>
            </w:r>
            <w:r>
              <w:rPr>
                <w:rFonts w:hint="eastAsia" w:ascii="Times New Roman" w:hAnsi="Times New Roman" w:eastAsia="宋体"/>
                <w:b w:val="0"/>
                <w:color w:val="auto"/>
                <w:sz w:val="24"/>
              </w:rPr>
              <w:t>进</w:t>
            </w:r>
            <w:r>
              <w:rPr>
                <w:rFonts w:hint="eastAsia" w:ascii="Times New Roman" w:hAnsi="Times New Roman" w:eastAsia="宋体"/>
                <w:b w:val="0"/>
                <w:color w:val="auto"/>
                <w:sz w:val="24"/>
                <w:lang w:val="eu-ES"/>
              </w:rPr>
              <w:t>口宽</w:t>
            </w:r>
            <w:r>
              <w:rPr>
                <w:rFonts w:hint="eastAsia" w:ascii="Times New Roman" w:hAnsi="Times New Roman" w:eastAsia="宋体"/>
                <w:b w:val="0"/>
                <w:color w:val="auto"/>
                <w:sz w:val="24"/>
              </w:rPr>
              <w:t>6.49m，收缩角9°。钢筋砼侧墙（悬臂式）高度1.5-3.5m</w:t>
            </w:r>
            <w:r>
              <w:rPr>
                <w:rFonts w:hint="eastAsia" w:ascii="Times New Roman" w:hAnsi="Times New Roman" w:eastAsia="宋体"/>
                <w:b w:val="0"/>
                <w:color w:val="auto"/>
                <w:sz w:val="24"/>
                <w:lang w:val="eu-ES"/>
              </w:rPr>
              <w:t>，底板为0.</w:t>
            </w:r>
            <w:r>
              <w:rPr>
                <w:rFonts w:hint="eastAsia" w:ascii="Times New Roman" w:hAnsi="Times New Roman" w:eastAsia="宋体"/>
                <w:b w:val="0"/>
                <w:color w:val="auto"/>
                <w:sz w:val="24"/>
              </w:rPr>
              <w:t>5</w:t>
            </w:r>
            <w:r>
              <w:rPr>
                <w:rFonts w:hint="eastAsia" w:ascii="Times New Roman" w:hAnsi="Times New Roman" w:eastAsia="宋体"/>
                <w:b w:val="0"/>
                <w:color w:val="auto"/>
                <w:sz w:val="24"/>
                <w:lang w:val="eu-ES"/>
              </w:rPr>
              <w:t>m厚钢筋砼</w:t>
            </w:r>
            <w:r>
              <w:rPr>
                <w:rFonts w:hint="eastAsia" w:ascii="Times New Roman" w:hAnsi="Times New Roman" w:eastAsia="宋体"/>
                <w:b w:val="0"/>
                <w:color w:val="auto"/>
                <w:sz w:val="24"/>
              </w:rPr>
              <w:t>，</w:t>
            </w:r>
            <w:r>
              <w:rPr>
                <w:rFonts w:hint="eastAsia" w:ascii="Times New Roman" w:hAnsi="Times New Roman" w:eastAsia="宋体"/>
                <w:b w:val="0"/>
                <w:color w:val="auto"/>
                <w:sz w:val="24"/>
                <w:lang w:val="eu-ES"/>
              </w:rPr>
              <w:t>板下设0.1m厚的C</w:t>
            </w:r>
            <w:r>
              <w:rPr>
                <w:rFonts w:hint="eastAsia" w:ascii="Times New Roman" w:hAnsi="Times New Roman" w:eastAsia="宋体"/>
                <w:b w:val="0"/>
                <w:color w:val="auto"/>
                <w:sz w:val="24"/>
              </w:rPr>
              <w:t>20</w:t>
            </w:r>
            <w:r>
              <w:rPr>
                <w:rFonts w:hint="eastAsia" w:ascii="Times New Roman" w:hAnsi="Times New Roman" w:eastAsia="宋体"/>
                <w:b w:val="0"/>
                <w:color w:val="auto"/>
                <w:sz w:val="24"/>
                <w:lang w:val="eu-ES"/>
              </w:rPr>
              <w:t>素砼垫层，基础采用1.0米厚2：8水泥土换填方式处理。</w:t>
            </w:r>
            <w:r>
              <w:rPr>
                <w:rFonts w:hint="eastAsia" w:ascii="Times New Roman" w:hAnsi="Times New Roman" w:eastAsia="宋体"/>
                <w:b w:val="0"/>
                <w:color w:val="auto"/>
                <w:sz w:val="24"/>
              </w:rPr>
              <w:t>边墙伸缩缝宽30mm，采用KN双组份聚硫密封料填塞，缝内设651型橡胶止水带，止水带布置于混凝土中间位置。</w:t>
            </w:r>
          </w:p>
          <w:p>
            <w:pPr>
              <w:pStyle w:val="6"/>
              <w:adjustRightInd w:val="0"/>
              <w:snapToGrid w:val="0"/>
              <w:spacing w:before="0" w:after="0"/>
              <w:ind w:firstLine="0" w:firstLineChars="0"/>
              <w:jc w:val="center"/>
              <w:rPr>
                <w:rFonts w:ascii="Times New Roman" w:hAnsi="Times New Roman" w:eastAsia="宋体"/>
                <w:bCs/>
                <w:color w:val="auto"/>
                <w:sz w:val="24"/>
              </w:rPr>
            </w:pPr>
            <w:r>
              <w:rPr>
                <w:color w:val="auto"/>
              </w:rPr>
              <w:drawing>
                <wp:inline distT="0" distB="0" distL="114300" distR="114300">
                  <wp:extent cx="5399405" cy="2743200"/>
                  <wp:effectExtent l="0" t="0" r="10795" b="0"/>
                  <wp:docPr id="8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3"/>
                          <pic:cNvPicPr>
                            <a:picLocks noChangeAspect="1"/>
                          </pic:cNvPicPr>
                        </pic:nvPicPr>
                        <pic:blipFill>
                          <a:blip r:embed="rId15"/>
                          <a:stretch>
                            <a:fillRect/>
                          </a:stretch>
                        </pic:blipFill>
                        <pic:spPr>
                          <a:xfrm>
                            <a:off x="0" y="0"/>
                            <a:ext cx="5399405" cy="2743200"/>
                          </a:xfrm>
                          <a:prstGeom prst="rect">
                            <a:avLst/>
                          </a:prstGeom>
                          <a:noFill/>
                          <a:ln>
                            <a:noFill/>
                          </a:ln>
                        </pic:spPr>
                      </pic:pic>
                    </a:graphicData>
                  </a:graphic>
                </wp:inline>
              </w:drawing>
            </w:r>
          </w:p>
          <w:p>
            <w:pPr>
              <w:pStyle w:val="6"/>
              <w:adjustRightInd w:val="0"/>
              <w:snapToGrid w:val="0"/>
              <w:spacing w:before="0" w:after="0" w:line="360" w:lineRule="auto"/>
              <w:ind w:firstLine="1440" w:firstLineChars="600"/>
              <w:rPr>
                <w:rFonts w:ascii="Times New Roman" w:hAnsi="Times New Roman" w:eastAsia="宋体"/>
                <w:bCs/>
                <w:color w:val="auto"/>
                <w:sz w:val="24"/>
              </w:rPr>
            </w:pPr>
            <w:r>
              <w:rPr>
                <w:rFonts w:hint="eastAsia" w:ascii="Times New Roman" w:hAnsi="Times New Roman" w:eastAsia="宋体"/>
                <w:b w:val="0"/>
                <w:color w:val="auto"/>
                <w:sz w:val="24"/>
              </w:rPr>
              <w:t>图2-</w:t>
            </w:r>
            <w:r>
              <w:rPr>
                <w:rFonts w:ascii="Times New Roman" w:hAnsi="Times New Roman" w:eastAsia="宋体"/>
                <w:b w:val="0"/>
                <w:color w:val="auto"/>
                <w:sz w:val="24"/>
              </w:rPr>
              <w:t>3</w:t>
            </w:r>
            <w:r>
              <w:rPr>
                <w:rFonts w:hint="eastAsia" w:ascii="Times New Roman" w:hAnsi="Times New Roman" w:eastAsia="宋体"/>
                <w:b w:val="0"/>
                <w:color w:val="auto"/>
                <w:sz w:val="24"/>
              </w:rPr>
              <w:t xml:space="preserve">       </w:t>
            </w:r>
            <w:r>
              <w:rPr>
                <w:rFonts w:hint="eastAsia" w:ascii="Times New Roman" w:hAnsi="Times New Roman" w:eastAsia="宋体"/>
                <w:bCs/>
                <w:color w:val="auto"/>
                <w:sz w:val="24"/>
              </w:rPr>
              <w:t>项目泄洪洞进口设计示意图</w:t>
            </w:r>
          </w:p>
          <w:p>
            <w:pPr>
              <w:pStyle w:val="5"/>
              <w:rPr>
                <w:color w:val="auto"/>
                <w:sz w:val="24"/>
                <w:szCs w:val="24"/>
              </w:rPr>
            </w:pPr>
            <w:bookmarkStart w:id="7" w:name="_Toc82758610"/>
            <w:bookmarkStart w:id="8" w:name="_Toc9916"/>
            <w:r>
              <w:rPr>
                <w:color w:val="auto"/>
                <w:sz w:val="24"/>
                <w:szCs w:val="24"/>
              </w:rPr>
              <w:t>2.2.4</w:t>
            </w:r>
            <w:r>
              <w:rPr>
                <w:rFonts w:hint="eastAsia"/>
                <w:color w:val="auto"/>
                <w:sz w:val="24"/>
                <w:szCs w:val="24"/>
              </w:rPr>
              <w:t>.3泄洪洞</w:t>
            </w:r>
            <w:bookmarkEnd w:id="7"/>
            <w:bookmarkEnd w:id="8"/>
          </w:p>
          <w:p>
            <w:pPr>
              <w:pStyle w:val="7"/>
              <w:ind w:firstLine="480"/>
              <w:rPr>
                <w:color w:val="auto"/>
              </w:rPr>
            </w:pPr>
            <w:r>
              <w:rPr>
                <w:rFonts w:hint="eastAsia"/>
                <w:color w:val="auto"/>
              </w:rPr>
              <w:t>本次封堵范新庄水库右坝肩泄洪洞，在水库左坝肩同底板高程新建泄洪洞1座，</w:t>
            </w:r>
            <w:r>
              <w:rPr>
                <w:color w:val="auto"/>
              </w:rPr>
              <w:t>考虑</w:t>
            </w:r>
            <w:r>
              <w:rPr>
                <w:rFonts w:hint="eastAsia"/>
                <w:color w:val="auto"/>
              </w:rPr>
              <w:t>水库淤积库容即将淤满，后期有降等或报废处理计划，本次新建泄洪洞最大泄量采用水库断面100年一遇洪峰流量50.0m</w:t>
            </w:r>
            <w:r>
              <w:rPr>
                <w:rFonts w:hint="eastAsia"/>
                <w:color w:val="auto"/>
                <w:vertAlign w:val="superscript"/>
              </w:rPr>
              <w:t>3</w:t>
            </w:r>
            <w:r>
              <w:rPr>
                <w:rFonts w:hint="eastAsia"/>
                <w:color w:val="auto"/>
              </w:rPr>
              <w:t>/s。泄洪洞采用</w:t>
            </w:r>
            <w:r>
              <w:rPr>
                <w:rFonts w:hint="eastAsia"/>
                <w:color w:val="auto"/>
                <w:lang w:bidi="ar"/>
              </w:rPr>
              <w:t>C30钢筋砼矩形结构，</w:t>
            </w:r>
            <w:r>
              <w:rPr>
                <w:rFonts w:hint="eastAsia"/>
                <w:color w:val="auto"/>
              </w:rPr>
              <w:t>长10m，</w:t>
            </w:r>
            <w:r>
              <w:rPr>
                <w:color w:val="auto"/>
              </w:rPr>
              <w:t>尺寸拟定为：</w:t>
            </w:r>
            <w:r>
              <w:rPr>
                <w:rFonts w:hint="eastAsia"/>
                <w:color w:val="auto"/>
              </w:rPr>
              <w:t>1.0</w:t>
            </w:r>
            <w:r>
              <w:rPr>
                <w:color w:val="auto"/>
              </w:rPr>
              <w:t>m×</w:t>
            </w:r>
            <w:r>
              <w:rPr>
                <w:rFonts w:hint="eastAsia"/>
                <w:color w:val="auto"/>
              </w:rPr>
              <w:t>1.5</w:t>
            </w:r>
            <w:r>
              <w:rPr>
                <w:color w:val="auto"/>
              </w:rPr>
              <w:t>m，比降1/100。</w:t>
            </w:r>
            <w:r>
              <w:rPr>
                <w:rFonts w:hint="eastAsia"/>
                <w:color w:val="auto"/>
              </w:rPr>
              <w:t>泄洪洞水力计算见表</w:t>
            </w:r>
            <w:r>
              <w:rPr>
                <w:color w:val="auto"/>
              </w:rPr>
              <w:t>2</w:t>
            </w:r>
            <w:r>
              <w:rPr>
                <w:rFonts w:hint="eastAsia"/>
                <w:color w:val="auto"/>
              </w:rPr>
              <w:t>-</w:t>
            </w:r>
            <w:r>
              <w:rPr>
                <w:color w:val="auto"/>
              </w:rPr>
              <w:t>2</w:t>
            </w:r>
            <w:r>
              <w:rPr>
                <w:rFonts w:hint="eastAsia"/>
                <w:color w:val="auto"/>
              </w:rPr>
              <w:t>。</w:t>
            </w:r>
          </w:p>
          <w:p>
            <w:pPr>
              <w:pStyle w:val="7"/>
              <w:spacing w:line="240" w:lineRule="auto"/>
              <w:ind w:firstLine="480"/>
              <w:rPr>
                <w:b/>
                <w:bCs/>
                <w:color w:val="auto"/>
              </w:rPr>
            </w:pPr>
            <w:r>
              <w:rPr>
                <w:rFonts w:hint="eastAsia"/>
                <w:color w:val="auto"/>
              </w:rPr>
              <w:t>表</w:t>
            </w:r>
            <w:r>
              <w:rPr>
                <w:color w:val="auto"/>
              </w:rPr>
              <w:t>2</w:t>
            </w:r>
            <w:r>
              <w:rPr>
                <w:rFonts w:hint="eastAsia"/>
                <w:color w:val="auto"/>
              </w:rPr>
              <w:t>-</w:t>
            </w:r>
            <w:r>
              <w:rPr>
                <w:color w:val="auto"/>
              </w:rPr>
              <w:t>2</w:t>
            </w:r>
            <w:r>
              <w:rPr>
                <w:rFonts w:hint="eastAsia"/>
                <w:color w:val="auto"/>
              </w:rPr>
              <w:t xml:space="preserve">         </w:t>
            </w:r>
            <w:r>
              <w:rPr>
                <w:color w:val="auto"/>
              </w:rPr>
              <w:t xml:space="preserve">    </w:t>
            </w:r>
            <w:r>
              <w:rPr>
                <w:rFonts w:hint="eastAsia"/>
                <w:b/>
                <w:bCs/>
                <w:color w:val="auto"/>
              </w:rPr>
              <w:t>泄洪洞水力计算表</w:t>
            </w:r>
          </w:p>
          <w:tbl>
            <w:tblPr>
              <w:tblStyle w:val="19"/>
              <w:tblW w:w="49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3"/>
              <w:gridCol w:w="568"/>
              <w:gridCol w:w="537"/>
              <w:gridCol w:w="341"/>
              <w:gridCol w:w="392"/>
              <w:gridCol w:w="630"/>
              <w:gridCol w:w="613"/>
              <w:gridCol w:w="638"/>
              <w:gridCol w:w="547"/>
              <w:gridCol w:w="714"/>
              <w:gridCol w:w="544"/>
              <w:gridCol w:w="569"/>
              <w:gridCol w:w="711"/>
              <w:gridCol w:w="7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55" w:hRule="atLeast"/>
                <w:jc w:val="center"/>
              </w:trPr>
              <w:tc>
                <w:tcPr>
                  <w:tcW w:w="461"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宽顶堰底板高程</w:t>
                  </w:r>
                  <w:r>
                    <w:rPr>
                      <w:b/>
                      <w:bCs/>
                      <w:color w:val="auto"/>
                      <w:kern w:val="0"/>
                      <w:sz w:val="18"/>
                      <w:szCs w:val="18"/>
                      <w:lang w:bidi="ar"/>
                    </w:rPr>
                    <w:t>(m)</w:t>
                  </w:r>
                </w:p>
              </w:tc>
              <w:tc>
                <w:tcPr>
                  <w:tcW w:w="343"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底宽</w:t>
                  </w:r>
                  <w:r>
                    <w:rPr>
                      <w:b/>
                      <w:bCs/>
                      <w:color w:val="auto"/>
                      <w:kern w:val="0"/>
                      <w:sz w:val="18"/>
                      <w:szCs w:val="18"/>
                      <w:lang w:bidi="ar"/>
                    </w:rPr>
                    <w:t>(m)</w:t>
                  </w:r>
                </w:p>
              </w:tc>
              <w:tc>
                <w:tcPr>
                  <w:tcW w:w="325"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流量系数</w:t>
                  </w:r>
                </w:p>
              </w:tc>
              <w:tc>
                <w:tcPr>
                  <w:tcW w:w="206"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淹没系数</w:t>
                  </w:r>
                </w:p>
              </w:tc>
              <w:tc>
                <w:tcPr>
                  <w:tcW w:w="237" w:type="pct"/>
                  <w:shd w:val="clear" w:color="auto" w:fill="FFFFFF"/>
                  <w:vAlign w:val="center"/>
                </w:tcPr>
                <w:p>
                  <w:pPr>
                    <w:widowControl/>
                    <w:adjustRightInd w:val="0"/>
                    <w:snapToGrid w:val="0"/>
                    <w:jc w:val="left"/>
                    <w:textAlignment w:val="center"/>
                    <w:rPr>
                      <w:b/>
                      <w:bCs/>
                      <w:color w:val="auto"/>
                      <w:kern w:val="0"/>
                      <w:sz w:val="18"/>
                      <w:szCs w:val="18"/>
                      <w:lang w:bidi="ar"/>
                    </w:rPr>
                  </w:pPr>
                  <w:r>
                    <w:rPr>
                      <w:rFonts w:hint="eastAsia"/>
                      <w:b/>
                      <w:bCs/>
                      <w:color w:val="auto"/>
                      <w:kern w:val="0"/>
                      <w:sz w:val="18"/>
                      <w:szCs w:val="18"/>
                      <w:lang w:bidi="ar"/>
                    </w:rPr>
                    <w:t>孔数</w:t>
                  </w:r>
                </w:p>
              </w:tc>
              <w:tc>
                <w:tcPr>
                  <w:tcW w:w="381"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堰前水位</w:t>
                  </w:r>
                  <w:r>
                    <w:rPr>
                      <w:b/>
                      <w:bCs/>
                      <w:color w:val="auto"/>
                      <w:kern w:val="0"/>
                      <w:sz w:val="18"/>
                      <w:szCs w:val="18"/>
                      <w:lang w:bidi="ar"/>
                    </w:rPr>
                    <w:t>(m)</w:t>
                  </w:r>
                </w:p>
              </w:tc>
              <w:tc>
                <w:tcPr>
                  <w:tcW w:w="371"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堰前水深</w:t>
                  </w:r>
                  <w:r>
                    <w:rPr>
                      <w:b/>
                      <w:bCs/>
                      <w:color w:val="auto"/>
                      <w:kern w:val="0"/>
                      <w:sz w:val="18"/>
                      <w:szCs w:val="18"/>
                      <w:lang w:bidi="ar"/>
                    </w:rPr>
                    <w:t>(m)</w:t>
                  </w:r>
                </w:p>
              </w:tc>
              <w:tc>
                <w:tcPr>
                  <w:tcW w:w="386"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流量</w:t>
                  </w:r>
                  <w:r>
                    <w:rPr>
                      <w:b/>
                      <w:bCs/>
                      <w:color w:val="auto"/>
                      <w:kern w:val="0"/>
                      <w:sz w:val="18"/>
                      <w:szCs w:val="18"/>
                      <w:lang w:bidi="ar"/>
                    </w:rPr>
                    <w:t>(m</w:t>
                  </w:r>
                  <w:r>
                    <w:rPr>
                      <w:b/>
                      <w:bCs/>
                      <w:color w:val="auto"/>
                      <w:kern w:val="0"/>
                      <w:sz w:val="18"/>
                      <w:szCs w:val="18"/>
                      <w:vertAlign w:val="superscript"/>
                      <w:lang w:bidi="ar"/>
                    </w:rPr>
                    <w:t>3</w:t>
                  </w:r>
                  <w:r>
                    <w:rPr>
                      <w:b/>
                      <w:bCs/>
                      <w:color w:val="auto"/>
                      <w:kern w:val="0"/>
                      <w:sz w:val="18"/>
                      <w:szCs w:val="18"/>
                      <w:lang w:bidi="ar"/>
                    </w:rPr>
                    <w:t>/s</w:t>
                  </w:r>
                  <w:r>
                    <w:rPr>
                      <w:rFonts w:hint="eastAsia"/>
                      <w:b/>
                      <w:bCs/>
                      <w:color w:val="auto"/>
                      <w:kern w:val="0"/>
                      <w:sz w:val="18"/>
                      <w:szCs w:val="18"/>
                      <w:lang w:bidi="ar"/>
                    </w:rPr>
                    <w:t>)</w:t>
                  </w:r>
                </w:p>
              </w:tc>
              <w:tc>
                <w:tcPr>
                  <w:tcW w:w="331" w:type="pct"/>
                  <w:shd w:val="clear" w:color="auto" w:fill="FFFFFF"/>
                  <w:noWrap/>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节点</w:t>
                  </w:r>
                </w:p>
              </w:tc>
              <w:tc>
                <w:tcPr>
                  <w:tcW w:w="432"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过水面积</w:t>
                  </w:r>
                  <w:r>
                    <w:rPr>
                      <w:b/>
                      <w:bCs/>
                      <w:color w:val="auto"/>
                      <w:kern w:val="0"/>
                      <w:sz w:val="18"/>
                      <w:szCs w:val="18"/>
                      <w:lang w:bidi="ar"/>
                    </w:rPr>
                    <w:t>(m</w:t>
                  </w:r>
                  <w:r>
                    <w:rPr>
                      <w:b/>
                      <w:bCs/>
                      <w:color w:val="auto"/>
                      <w:kern w:val="0"/>
                      <w:sz w:val="18"/>
                      <w:szCs w:val="18"/>
                      <w:vertAlign w:val="superscript"/>
                      <w:lang w:bidi="ar"/>
                    </w:rPr>
                    <w:t>2</w:t>
                  </w:r>
                  <w:r>
                    <w:rPr>
                      <w:b/>
                      <w:bCs/>
                      <w:color w:val="auto"/>
                      <w:kern w:val="0"/>
                      <w:sz w:val="18"/>
                      <w:szCs w:val="18"/>
                      <w:lang w:bidi="ar"/>
                    </w:rPr>
                    <w:t>)</w:t>
                  </w:r>
                </w:p>
              </w:tc>
              <w:tc>
                <w:tcPr>
                  <w:tcW w:w="329"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比降</w:t>
                  </w:r>
                </w:p>
              </w:tc>
              <w:tc>
                <w:tcPr>
                  <w:tcW w:w="344"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墙高</w:t>
                  </w:r>
                  <w:r>
                    <w:rPr>
                      <w:b/>
                      <w:bCs/>
                      <w:color w:val="auto"/>
                      <w:kern w:val="0"/>
                      <w:sz w:val="18"/>
                      <w:szCs w:val="18"/>
                      <w:lang w:bidi="ar"/>
                    </w:rPr>
                    <w:t>(m)</w:t>
                  </w:r>
                </w:p>
              </w:tc>
              <w:tc>
                <w:tcPr>
                  <w:tcW w:w="430" w:type="pct"/>
                  <w:shd w:val="clear" w:color="auto" w:fill="FFFFFF"/>
                  <w:noWrap/>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净空面积比</w:t>
                  </w:r>
                </w:p>
              </w:tc>
              <w:tc>
                <w:tcPr>
                  <w:tcW w:w="424" w:type="pct"/>
                  <w:shd w:val="clear" w:color="auto" w:fill="FFFFFF"/>
                  <w:vAlign w:val="center"/>
                </w:tcPr>
                <w:p>
                  <w:pPr>
                    <w:widowControl/>
                    <w:adjustRightInd w:val="0"/>
                    <w:snapToGrid w:val="0"/>
                    <w:jc w:val="center"/>
                    <w:textAlignment w:val="center"/>
                    <w:rPr>
                      <w:b/>
                      <w:bCs/>
                      <w:color w:val="auto"/>
                      <w:kern w:val="0"/>
                      <w:sz w:val="18"/>
                      <w:szCs w:val="18"/>
                      <w:lang w:bidi="ar"/>
                    </w:rPr>
                  </w:pPr>
                  <w:r>
                    <w:rPr>
                      <w:rFonts w:hint="eastAsia"/>
                      <w:b/>
                      <w:bCs/>
                      <w:color w:val="auto"/>
                      <w:kern w:val="0"/>
                      <w:sz w:val="18"/>
                      <w:szCs w:val="18"/>
                      <w:lang w:bidi="ar"/>
                    </w:rPr>
                    <w:t>净空高度</w:t>
                  </w:r>
                  <w:r>
                    <w:rPr>
                      <w:b/>
                      <w:bCs/>
                      <w:color w:val="auto"/>
                      <w:kern w:val="0"/>
                      <w:sz w:val="18"/>
                      <w:szCs w:val="18"/>
                      <w:lang w:bidi="ar"/>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461"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1707.97</w:t>
                  </w:r>
                </w:p>
              </w:tc>
              <w:tc>
                <w:tcPr>
                  <w:tcW w:w="343"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3.5</w:t>
                  </w:r>
                </w:p>
              </w:tc>
              <w:tc>
                <w:tcPr>
                  <w:tcW w:w="325"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0.36</w:t>
                  </w:r>
                </w:p>
              </w:tc>
              <w:tc>
                <w:tcPr>
                  <w:tcW w:w="206"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1</w:t>
                  </w:r>
                </w:p>
              </w:tc>
              <w:tc>
                <w:tcPr>
                  <w:tcW w:w="237"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2</w:t>
                  </w:r>
                </w:p>
              </w:tc>
              <w:tc>
                <w:tcPr>
                  <w:tcW w:w="381"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1710.69</w:t>
                  </w:r>
                </w:p>
              </w:tc>
              <w:tc>
                <w:tcPr>
                  <w:tcW w:w="371"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2.72</w:t>
                  </w:r>
                </w:p>
              </w:tc>
              <w:tc>
                <w:tcPr>
                  <w:tcW w:w="386" w:type="pct"/>
                  <w:shd w:val="clear" w:color="auto" w:fill="FFFFFF"/>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50</w:t>
                  </w:r>
                </w:p>
              </w:tc>
              <w:tc>
                <w:tcPr>
                  <w:tcW w:w="331" w:type="pct"/>
                  <w:shd w:val="clear" w:color="auto" w:fill="FFFFFF"/>
                  <w:noWrap/>
                  <w:vAlign w:val="center"/>
                </w:tcPr>
                <w:p>
                  <w:pPr>
                    <w:widowControl/>
                    <w:adjustRightInd w:val="0"/>
                    <w:snapToGrid w:val="0"/>
                    <w:jc w:val="center"/>
                    <w:textAlignment w:val="center"/>
                    <w:rPr>
                      <w:color w:val="auto"/>
                      <w:kern w:val="0"/>
                      <w:sz w:val="18"/>
                      <w:szCs w:val="18"/>
                      <w:lang w:bidi="ar"/>
                    </w:rPr>
                  </w:pPr>
                  <w:r>
                    <w:rPr>
                      <w:rFonts w:hint="eastAsia"/>
                      <w:color w:val="auto"/>
                      <w:kern w:val="0"/>
                      <w:sz w:val="18"/>
                      <w:szCs w:val="18"/>
                      <w:lang w:bidi="ar"/>
                    </w:rPr>
                    <w:t>①</w:t>
                  </w:r>
                </w:p>
              </w:tc>
              <w:tc>
                <w:tcPr>
                  <w:tcW w:w="432"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9.51</w:t>
                  </w:r>
                </w:p>
              </w:tc>
              <w:tc>
                <w:tcPr>
                  <w:tcW w:w="329"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0.01</w:t>
                  </w:r>
                </w:p>
              </w:tc>
              <w:tc>
                <w:tcPr>
                  <w:tcW w:w="344"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3.5</w:t>
                  </w:r>
                </w:p>
              </w:tc>
              <w:tc>
                <w:tcPr>
                  <w:tcW w:w="430" w:type="pct"/>
                  <w:shd w:val="clear" w:color="auto" w:fill="FFFFFF"/>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0.22</w:t>
                  </w:r>
                </w:p>
              </w:tc>
              <w:tc>
                <w:tcPr>
                  <w:tcW w:w="424" w:type="pct"/>
                  <w:noWrap/>
                  <w:vAlign w:val="center"/>
                </w:tcPr>
                <w:p>
                  <w:pPr>
                    <w:widowControl/>
                    <w:adjustRightInd w:val="0"/>
                    <w:snapToGrid w:val="0"/>
                    <w:jc w:val="center"/>
                    <w:textAlignment w:val="center"/>
                    <w:rPr>
                      <w:color w:val="auto"/>
                      <w:kern w:val="0"/>
                      <w:sz w:val="18"/>
                      <w:szCs w:val="18"/>
                      <w:lang w:bidi="ar"/>
                    </w:rPr>
                  </w:pPr>
                  <w:r>
                    <w:rPr>
                      <w:color w:val="auto"/>
                      <w:kern w:val="0"/>
                      <w:sz w:val="18"/>
                      <w:szCs w:val="18"/>
                      <w:lang w:bidi="ar"/>
                    </w:rPr>
                    <w:t>0.78</w:t>
                  </w:r>
                </w:p>
              </w:tc>
            </w:tr>
          </w:tbl>
          <w:p>
            <w:pPr>
              <w:pStyle w:val="8"/>
              <w:rPr>
                <w:color w:val="auto"/>
              </w:rPr>
            </w:pPr>
          </w:p>
          <w:p>
            <w:pPr>
              <w:pStyle w:val="7"/>
              <w:adjustRightInd w:val="0"/>
              <w:snapToGrid w:val="0"/>
              <w:ind w:firstLine="480"/>
              <w:rPr>
                <w:color w:val="auto"/>
              </w:rPr>
            </w:pPr>
            <w:r>
              <w:rPr>
                <w:rFonts w:hint="eastAsia"/>
                <w:color w:val="auto"/>
              </w:rPr>
              <w:t>泄洪洞保持无压流的条件为：净空断面积一般为洞身横断面的</w:t>
            </w:r>
            <w:r>
              <w:rPr>
                <w:color w:val="auto"/>
              </w:rPr>
              <w:t>10%-30%</w:t>
            </w:r>
            <w:r>
              <w:rPr>
                <w:rFonts w:hint="eastAsia"/>
                <w:color w:val="auto"/>
              </w:rPr>
              <w:t>，且净空高度不小于</w:t>
            </w:r>
            <w:r>
              <w:rPr>
                <w:color w:val="auto"/>
              </w:rPr>
              <w:t>0.4m</w:t>
            </w:r>
            <w:r>
              <w:rPr>
                <w:rFonts w:hint="eastAsia"/>
                <w:color w:val="auto"/>
              </w:rPr>
              <w:t>。本次新建泄洪洞上部净空面积占泄洪洞总面积的22%，净空高度为0.78m，因此泄洪洞单孔尺寸</w:t>
            </w:r>
            <w:r>
              <w:rPr>
                <w:color w:val="auto"/>
              </w:rPr>
              <w:t>3.5m×3.5m</w:t>
            </w:r>
            <w:r>
              <w:rPr>
                <w:rFonts w:hint="eastAsia"/>
                <w:color w:val="auto"/>
              </w:rPr>
              <w:t>（宽×高）满足无压过流条件。</w:t>
            </w:r>
          </w:p>
          <w:p>
            <w:pPr>
              <w:pStyle w:val="7"/>
              <w:adjustRightInd w:val="0"/>
              <w:snapToGrid w:val="0"/>
              <w:ind w:firstLine="480"/>
              <w:rPr>
                <w:color w:val="auto"/>
                <w:lang w:val="eu-ES"/>
              </w:rPr>
            </w:pPr>
            <w:r>
              <w:rPr>
                <w:rFonts w:hint="eastAsia"/>
                <w:color w:val="auto"/>
              </w:rPr>
              <w:t>泄洪洞</w:t>
            </w:r>
            <w:r>
              <w:rPr>
                <w:rFonts w:hint="eastAsia"/>
                <w:color w:val="auto"/>
                <w:lang w:val="eu-ES"/>
              </w:rPr>
              <w:t>为现浇钢筋砼箱涵结构，</w:t>
            </w:r>
            <w:r>
              <w:rPr>
                <w:rFonts w:hint="eastAsia"/>
                <w:color w:val="auto"/>
              </w:rPr>
              <w:t>高</w:t>
            </w:r>
            <w:r>
              <w:rPr>
                <w:color w:val="auto"/>
              </w:rPr>
              <w:t>3.5m</w:t>
            </w:r>
            <w:r>
              <w:rPr>
                <w:rFonts w:hint="eastAsia"/>
                <w:color w:val="auto"/>
              </w:rPr>
              <w:t>，单孔宽</w:t>
            </w:r>
            <w:r>
              <w:rPr>
                <w:color w:val="auto"/>
              </w:rPr>
              <w:t>3.5m</w:t>
            </w:r>
            <w:r>
              <w:rPr>
                <w:rFonts w:hint="eastAsia"/>
                <w:color w:val="auto"/>
              </w:rPr>
              <w:t>，设</w:t>
            </w:r>
            <w:r>
              <w:rPr>
                <w:color w:val="auto"/>
              </w:rPr>
              <w:t>2</w:t>
            </w:r>
            <w:r>
              <w:rPr>
                <w:rFonts w:hint="eastAsia"/>
                <w:color w:val="auto"/>
              </w:rPr>
              <w:t>孔，中墩顶宽</w:t>
            </w:r>
            <w:r>
              <w:rPr>
                <w:color w:val="auto"/>
              </w:rPr>
              <w:t>0.8m</w:t>
            </w:r>
            <w:r>
              <w:rPr>
                <w:rFonts w:hint="eastAsia"/>
                <w:color w:val="auto"/>
              </w:rPr>
              <w:t>，边墩为</w:t>
            </w:r>
            <w:r>
              <w:rPr>
                <w:rFonts w:hint="eastAsia"/>
                <w:color w:val="auto"/>
                <w:lang w:val="eu-ES"/>
              </w:rPr>
              <w:t>重力式八字墙，顶宽</w:t>
            </w:r>
            <w:r>
              <w:rPr>
                <w:color w:val="auto"/>
              </w:rPr>
              <w:t>0.5</w:t>
            </w:r>
            <w:r>
              <w:rPr>
                <w:color w:val="auto"/>
                <w:lang w:val="eu-ES"/>
              </w:rPr>
              <w:t>m</w:t>
            </w:r>
            <w:r>
              <w:rPr>
                <w:rFonts w:hint="eastAsia"/>
                <w:color w:val="auto"/>
                <w:lang w:val="eu-ES"/>
              </w:rPr>
              <w:t>，内边坡铅直，外边坡</w:t>
            </w:r>
            <w:r>
              <w:rPr>
                <w:color w:val="auto"/>
                <w:lang w:val="eu-ES"/>
              </w:rPr>
              <w:t>1:0.2</w:t>
            </w:r>
            <w:r>
              <w:rPr>
                <w:rFonts w:hint="eastAsia"/>
                <w:color w:val="auto"/>
                <w:lang w:val="eu-ES"/>
              </w:rPr>
              <w:t>，</w:t>
            </w:r>
            <w:r>
              <w:rPr>
                <w:rFonts w:hint="eastAsia"/>
                <w:color w:val="auto"/>
              </w:rPr>
              <w:t>顶板厚</w:t>
            </w:r>
            <w:r>
              <w:rPr>
                <w:color w:val="auto"/>
              </w:rPr>
              <w:t>0.5m</w:t>
            </w:r>
            <w:r>
              <w:rPr>
                <w:rFonts w:hint="eastAsia"/>
                <w:color w:val="auto"/>
              </w:rPr>
              <w:t>，底板厚</w:t>
            </w:r>
            <w:r>
              <w:rPr>
                <w:color w:val="auto"/>
              </w:rPr>
              <w:t>0.6m</w:t>
            </w:r>
            <w:r>
              <w:rPr>
                <w:rFonts w:hint="eastAsia"/>
                <w:color w:val="auto"/>
              </w:rPr>
              <w:t>，顺水流总长度</w:t>
            </w:r>
            <w:r>
              <w:rPr>
                <w:color w:val="auto"/>
              </w:rPr>
              <w:t>10.0m</w:t>
            </w:r>
            <w:r>
              <w:rPr>
                <w:rFonts w:hint="eastAsia"/>
                <w:color w:val="auto"/>
              </w:rPr>
              <w:t>。</w:t>
            </w:r>
            <w:r>
              <w:rPr>
                <w:rFonts w:hint="eastAsia"/>
                <w:color w:val="auto"/>
                <w:lang w:val="eu-ES"/>
              </w:rPr>
              <w:t>底板下设</w:t>
            </w:r>
            <w:r>
              <w:rPr>
                <w:color w:val="auto"/>
                <w:lang w:val="eu-ES"/>
              </w:rPr>
              <w:t>0.1m</w:t>
            </w:r>
            <w:r>
              <w:rPr>
                <w:rFonts w:hint="eastAsia"/>
                <w:color w:val="auto"/>
                <w:lang w:val="eu-ES"/>
              </w:rPr>
              <w:t>厚的</w:t>
            </w:r>
            <w:r>
              <w:rPr>
                <w:color w:val="auto"/>
                <w:lang w:val="eu-ES"/>
              </w:rPr>
              <w:t>C</w:t>
            </w:r>
            <w:r>
              <w:rPr>
                <w:color w:val="auto"/>
              </w:rPr>
              <w:t>20</w:t>
            </w:r>
            <w:r>
              <w:rPr>
                <w:rFonts w:hint="eastAsia"/>
                <w:color w:val="auto"/>
                <w:lang w:val="eu-ES"/>
              </w:rPr>
              <w:t>素砼垫层，基础采用</w:t>
            </w:r>
            <w:r>
              <w:rPr>
                <w:color w:val="auto"/>
                <w:lang w:val="eu-ES"/>
              </w:rPr>
              <w:t>1.0</w:t>
            </w:r>
            <w:r>
              <w:rPr>
                <w:rFonts w:hint="eastAsia"/>
                <w:color w:val="auto"/>
                <w:lang w:val="eu-ES"/>
              </w:rPr>
              <w:t>米厚</w:t>
            </w:r>
            <w:r>
              <w:rPr>
                <w:color w:val="auto"/>
                <w:lang w:val="eu-ES"/>
              </w:rPr>
              <w:t>2</w:t>
            </w:r>
            <w:r>
              <w:rPr>
                <w:rFonts w:hint="eastAsia"/>
                <w:color w:val="auto"/>
                <w:lang w:val="eu-ES"/>
              </w:rPr>
              <w:t>：</w:t>
            </w:r>
            <w:r>
              <w:rPr>
                <w:color w:val="auto"/>
                <w:lang w:val="eu-ES"/>
              </w:rPr>
              <w:t>8</w:t>
            </w:r>
            <w:r>
              <w:rPr>
                <w:rFonts w:hint="eastAsia"/>
                <w:color w:val="auto"/>
                <w:lang w:val="eu-ES"/>
              </w:rPr>
              <w:t>水泥土换填方式处理，压实度不小于</w:t>
            </w:r>
            <w:r>
              <w:rPr>
                <w:color w:val="auto"/>
                <w:lang w:val="eu-ES"/>
              </w:rPr>
              <w:t>0.97</w:t>
            </w:r>
            <w:r>
              <w:rPr>
                <w:rFonts w:hint="eastAsia"/>
                <w:color w:val="auto"/>
                <w:lang w:val="eu-ES"/>
              </w:rPr>
              <w:t>，</w:t>
            </w:r>
            <w:r>
              <w:rPr>
                <w:rFonts w:hint="eastAsia"/>
                <w:color w:val="auto"/>
              </w:rPr>
              <w:t>侧墙</w:t>
            </w:r>
            <w:r>
              <w:rPr>
                <w:rFonts w:hint="eastAsia"/>
                <w:color w:val="auto"/>
                <w:lang w:val="eu-ES"/>
              </w:rPr>
              <w:t>回填土压实度不小于</w:t>
            </w:r>
            <w:r>
              <w:rPr>
                <w:color w:val="auto"/>
                <w:lang w:val="eu-ES"/>
              </w:rPr>
              <w:t>0.95</w:t>
            </w:r>
            <w:r>
              <w:rPr>
                <w:rFonts w:hint="eastAsia"/>
                <w:color w:val="auto"/>
                <w:lang w:val="eu-ES"/>
              </w:rPr>
              <w:t>。</w:t>
            </w:r>
          </w:p>
          <w:p>
            <w:pPr>
              <w:pStyle w:val="7"/>
              <w:adjustRightInd w:val="0"/>
              <w:snapToGrid w:val="0"/>
              <w:ind w:firstLine="480"/>
              <w:rPr>
                <w:color w:val="auto"/>
                <w:szCs w:val="24"/>
              </w:rPr>
            </w:pPr>
            <w:r>
              <w:rPr>
                <w:rFonts w:hint="eastAsia"/>
                <w:color w:val="auto"/>
                <w:szCs w:val="24"/>
              </w:rPr>
              <w:t>泄洪洞土方回填时先对建筑物表面采用风枪吹扫干净，同时洒水湿润，并边涂刷红粘土浆、边铺土、边夯实。泥浆涂刷高度必须与铺土厚度一致，并与下部涂层衔接，严禁泥浆干固后铺土和压实。</w:t>
            </w:r>
          </w:p>
          <w:p>
            <w:pPr>
              <w:pStyle w:val="6"/>
              <w:adjustRightInd w:val="0"/>
              <w:snapToGrid w:val="0"/>
              <w:spacing w:before="0" w:after="0"/>
              <w:ind w:firstLine="0" w:firstLineChars="0"/>
              <w:jc w:val="center"/>
              <w:rPr>
                <w:rFonts w:ascii="Times New Roman" w:hAnsi="Times New Roman" w:eastAsia="宋体"/>
                <w:bCs/>
                <w:color w:val="auto"/>
                <w:sz w:val="24"/>
              </w:rPr>
            </w:pPr>
            <w:r>
              <w:rPr>
                <w:rFonts w:ascii="Times New Roman" w:hAnsi="Times New Roman" w:eastAsia="宋体"/>
                <w:b w:val="0"/>
                <w:color w:val="auto"/>
                <w:kern w:val="2"/>
                <w:sz w:val="21"/>
              </w:rPr>
              <w:drawing>
                <wp:inline distT="0" distB="0" distL="0" distR="0">
                  <wp:extent cx="5278755" cy="1807210"/>
                  <wp:effectExtent l="0" t="0" r="0" b="2540"/>
                  <wp:docPr id="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80435" cy="1807823"/>
                          </a:xfrm>
                          <a:prstGeom prst="rect">
                            <a:avLst/>
                          </a:prstGeom>
                          <a:noFill/>
                          <a:ln>
                            <a:noFill/>
                          </a:ln>
                        </pic:spPr>
                      </pic:pic>
                    </a:graphicData>
                  </a:graphic>
                </wp:inline>
              </w:drawing>
            </w:r>
          </w:p>
          <w:p>
            <w:pPr>
              <w:pStyle w:val="6"/>
              <w:adjustRightInd w:val="0"/>
              <w:snapToGrid w:val="0"/>
              <w:spacing w:before="0" w:after="0" w:line="360" w:lineRule="auto"/>
              <w:ind w:firstLine="1440" w:firstLineChars="600"/>
              <w:rPr>
                <w:rFonts w:ascii="Times New Roman" w:hAnsi="Times New Roman" w:eastAsia="宋体"/>
                <w:bCs/>
                <w:color w:val="auto"/>
                <w:sz w:val="24"/>
              </w:rPr>
            </w:pPr>
            <w:bookmarkStart w:id="9" w:name="_Toc82758611"/>
            <w:bookmarkStart w:id="10" w:name="_Toc10060"/>
            <w:r>
              <w:rPr>
                <w:rFonts w:hint="eastAsia" w:ascii="Times New Roman" w:hAnsi="Times New Roman" w:eastAsia="宋体"/>
                <w:b w:val="0"/>
                <w:color w:val="auto"/>
                <w:sz w:val="24"/>
              </w:rPr>
              <w:t>图2-</w:t>
            </w:r>
            <w:r>
              <w:rPr>
                <w:rFonts w:ascii="Times New Roman" w:hAnsi="Times New Roman" w:eastAsia="宋体"/>
                <w:b w:val="0"/>
                <w:color w:val="auto"/>
                <w:sz w:val="24"/>
              </w:rPr>
              <w:t>4</w:t>
            </w:r>
            <w:r>
              <w:rPr>
                <w:rFonts w:hint="eastAsia" w:ascii="Times New Roman" w:hAnsi="Times New Roman" w:eastAsia="宋体"/>
                <w:b w:val="0"/>
                <w:color w:val="auto"/>
                <w:sz w:val="24"/>
              </w:rPr>
              <w:t xml:space="preserve">      </w:t>
            </w:r>
            <w:r>
              <w:rPr>
                <w:rFonts w:hint="eastAsia" w:ascii="Times New Roman" w:hAnsi="Times New Roman" w:eastAsia="宋体"/>
                <w:bCs/>
                <w:color w:val="auto"/>
                <w:sz w:val="24"/>
              </w:rPr>
              <w:t xml:space="preserve"> </w:t>
            </w:r>
            <w:r>
              <w:rPr>
                <w:rFonts w:ascii="Times New Roman" w:hAnsi="Times New Roman" w:eastAsia="宋体"/>
                <w:bCs/>
                <w:color w:val="auto"/>
                <w:sz w:val="24"/>
              </w:rPr>
              <w:t xml:space="preserve">   </w:t>
            </w:r>
            <w:r>
              <w:rPr>
                <w:rFonts w:hint="eastAsia" w:ascii="Times New Roman" w:hAnsi="Times New Roman" w:eastAsia="宋体"/>
                <w:bCs/>
                <w:color w:val="auto"/>
                <w:sz w:val="24"/>
              </w:rPr>
              <w:t>泄洪洞设计示意图</w:t>
            </w:r>
          </w:p>
          <w:p>
            <w:pPr>
              <w:pStyle w:val="5"/>
              <w:rPr>
                <w:color w:val="auto"/>
                <w:sz w:val="24"/>
                <w:szCs w:val="24"/>
              </w:rPr>
            </w:pPr>
            <w:r>
              <w:rPr>
                <w:color w:val="auto"/>
                <w:sz w:val="24"/>
                <w:szCs w:val="24"/>
              </w:rPr>
              <w:t>2.2.4</w:t>
            </w:r>
            <w:r>
              <w:rPr>
                <w:rFonts w:hint="eastAsia"/>
                <w:color w:val="auto"/>
                <w:sz w:val="24"/>
                <w:szCs w:val="24"/>
              </w:rPr>
              <w:t>.4排洪渠</w:t>
            </w:r>
            <w:bookmarkEnd w:id="9"/>
            <w:bookmarkEnd w:id="10"/>
          </w:p>
          <w:p>
            <w:pPr>
              <w:adjustRightInd w:val="0"/>
              <w:snapToGrid w:val="0"/>
              <w:spacing w:line="360" w:lineRule="auto"/>
              <w:ind w:firstLine="470" w:firstLineChars="196"/>
              <w:rPr>
                <w:color w:val="auto"/>
                <w:sz w:val="24"/>
                <w:lang w:val="eu-ES"/>
              </w:rPr>
            </w:pPr>
            <w:r>
              <w:rPr>
                <w:rFonts w:hint="eastAsia"/>
                <w:color w:val="auto"/>
                <w:sz w:val="24"/>
                <w:lang w:val="eu-ES"/>
              </w:rPr>
              <w:t>在范新庄水库左坝肩新建泄洪洞后接整改区排洪渠，排洪渠水平长1708.5m，由一级明渠、过路涵洞、二级明渠、陡坡、消力池及海漫组成。</w:t>
            </w:r>
          </w:p>
          <w:p>
            <w:pPr>
              <w:pStyle w:val="6"/>
              <w:tabs>
                <w:tab w:val="left" w:pos="854"/>
              </w:tabs>
              <w:adjustRightInd w:val="0"/>
              <w:snapToGrid w:val="0"/>
              <w:spacing w:before="0" w:after="0" w:line="360" w:lineRule="auto"/>
              <w:ind w:firstLine="482"/>
              <w:rPr>
                <w:rFonts w:ascii="Times New Roman" w:hAnsi="Times New Roman" w:eastAsia="宋体"/>
                <w:bCs/>
                <w:color w:val="auto"/>
                <w:kern w:val="2"/>
                <w:sz w:val="24"/>
              </w:rPr>
            </w:pPr>
            <w:bookmarkStart w:id="11" w:name="_Toc82758612"/>
            <w:r>
              <w:rPr>
                <w:rFonts w:ascii="Times New Roman" w:hAnsi="Times New Roman" w:eastAsia="宋体"/>
                <w:bCs/>
                <w:color w:val="auto"/>
                <w:kern w:val="2"/>
                <w:sz w:val="24"/>
              </w:rPr>
              <w:t>1</w:t>
            </w:r>
            <w:r>
              <w:rPr>
                <w:rFonts w:hint="eastAsia" w:ascii="Times New Roman" w:hAnsi="Times New Roman" w:eastAsia="宋体"/>
                <w:bCs/>
                <w:color w:val="auto"/>
                <w:kern w:val="2"/>
                <w:sz w:val="24"/>
              </w:rPr>
              <w:t>、一级明渠和二级明渠</w:t>
            </w:r>
            <w:bookmarkEnd w:id="11"/>
          </w:p>
          <w:p>
            <w:pPr>
              <w:adjustRightInd w:val="0"/>
              <w:snapToGrid w:val="0"/>
              <w:spacing w:line="360" w:lineRule="auto"/>
              <w:ind w:firstLine="480" w:firstLineChars="200"/>
              <w:rPr>
                <w:color w:val="auto"/>
                <w:sz w:val="24"/>
                <w:lang w:val="eu-ES"/>
              </w:rPr>
            </w:pPr>
            <w:r>
              <w:rPr>
                <w:rFonts w:hint="eastAsia"/>
                <w:color w:val="auto"/>
                <w:sz w:val="24"/>
                <w:lang w:val="eu-ES"/>
              </w:rPr>
              <w:t>一级明渠和二级明渠分别建在王洼沟左岸坡治理区和王洼二矿矸石场上，一级明渠水平长1084m，坡比为0.006；二级明渠水平长472.5m，坡比为0.002。一级明渠和二级明渠设计洪水分别采用表2-9及图2-</w:t>
            </w:r>
            <w:r>
              <w:rPr>
                <w:color w:val="auto"/>
                <w:sz w:val="24"/>
                <w:lang w:val="eu-ES"/>
              </w:rPr>
              <w:t>9</w:t>
            </w:r>
            <w:r>
              <w:rPr>
                <w:rFonts w:hint="eastAsia"/>
                <w:color w:val="auto"/>
                <w:sz w:val="24"/>
                <w:lang w:val="eu-ES"/>
              </w:rPr>
              <w:t>中②号和③号断面100年一遇洪峰流量53.3m</w:t>
            </w:r>
            <w:r>
              <w:rPr>
                <w:rFonts w:hint="eastAsia"/>
                <w:color w:val="auto"/>
                <w:sz w:val="24"/>
                <w:vertAlign w:val="superscript"/>
                <w:lang w:val="eu-ES"/>
              </w:rPr>
              <w:t>3</w:t>
            </w:r>
            <w:r>
              <w:rPr>
                <w:rFonts w:hint="eastAsia"/>
                <w:color w:val="auto"/>
                <w:sz w:val="24"/>
                <w:lang w:val="eu-ES"/>
              </w:rPr>
              <w:t>/s和55.1m</w:t>
            </w:r>
            <w:r>
              <w:rPr>
                <w:rFonts w:hint="eastAsia"/>
                <w:color w:val="auto"/>
                <w:sz w:val="24"/>
                <w:vertAlign w:val="superscript"/>
                <w:lang w:val="eu-ES"/>
              </w:rPr>
              <w:t>3</w:t>
            </w:r>
            <w:r>
              <w:rPr>
                <w:rFonts w:hint="eastAsia"/>
                <w:color w:val="auto"/>
                <w:sz w:val="24"/>
                <w:lang w:val="eu-ES"/>
              </w:rPr>
              <w:t>/s。一、二级明渠均设置在填埋体上，地基会存在一定沉降变形，本次采用格宾砌护梯形断面，边坡为1：2，比降放缓，流速不大于2.5m/s，底层全断面进行1m厚素土夯实，压实度不小于0.96，其上铺设250g/0.5mm/250g复合土工膜防渗，复合土工膜上层3cm水泥砂浆抹面，最上层采用格宾砌护，底板厚50cm，护坡厚30cm，格宾材料采用“低碳钢丝+（锌-10%铝-稀土合金镀层）”，格宾网箱网目尺寸80*100mm。不同材料建筑物间采用浆砌石扭面衔接，为</w:t>
            </w:r>
            <w:r>
              <w:rPr>
                <w:rFonts w:hint="eastAsia"/>
                <w:color w:val="auto"/>
                <w:sz w:val="24"/>
                <w:lang w:val="zh-CN"/>
              </w:rPr>
              <w:t>M7.5Mu30</w:t>
            </w:r>
            <w:r>
              <w:rPr>
                <w:rFonts w:hint="eastAsia"/>
                <w:color w:val="auto"/>
                <w:sz w:val="24"/>
                <w:lang w:val="eu-ES"/>
              </w:rPr>
              <w:t>浆砌石</w:t>
            </w:r>
            <w:r>
              <w:rPr>
                <w:rFonts w:hint="eastAsia"/>
                <w:color w:val="auto"/>
                <w:sz w:val="24"/>
                <w:lang w:val="zh-CN"/>
              </w:rPr>
              <w:t>，</w:t>
            </w:r>
            <w:r>
              <w:rPr>
                <w:rFonts w:hint="eastAsia"/>
                <w:color w:val="auto"/>
                <w:sz w:val="24"/>
                <w:lang w:val="eu-ES"/>
              </w:rPr>
              <w:t>并采用</w:t>
            </w:r>
            <w:r>
              <w:rPr>
                <w:rFonts w:hint="eastAsia"/>
                <w:color w:val="auto"/>
                <w:sz w:val="24"/>
                <w:lang w:val="zh-CN"/>
              </w:rPr>
              <w:t>M10水泥砂浆勾缝：施工时应严格控制砌筑质量，砌护缝要错缝，不得出现通缝。</w:t>
            </w:r>
            <w:r>
              <w:rPr>
                <w:rFonts w:hint="eastAsia"/>
                <w:color w:val="auto"/>
                <w:sz w:val="24"/>
                <w:lang w:val="eu-ES"/>
              </w:rPr>
              <w:t>一、二级明渠水力计算见表</w:t>
            </w:r>
            <w:r>
              <w:rPr>
                <w:color w:val="auto"/>
                <w:sz w:val="24"/>
              </w:rPr>
              <w:t>2</w:t>
            </w:r>
            <w:r>
              <w:rPr>
                <w:rFonts w:hint="eastAsia"/>
                <w:color w:val="auto"/>
                <w:sz w:val="24"/>
                <w:lang w:val="eu-ES"/>
              </w:rPr>
              <w:t>-</w:t>
            </w:r>
            <w:r>
              <w:rPr>
                <w:color w:val="auto"/>
                <w:sz w:val="24"/>
                <w:lang w:val="eu-ES"/>
              </w:rPr>
              <w:t>3</w:t>
            </w:r>
            <w:r>
              <w:rPr>
                <w:rFonts w:hint="eastAsia"/>
                <w:color w:val="auto"/>
                <w:sz w:val="24"/>
                <w:lang w:val="eu-ES"/>
              </w:rPr>
              <w:t>。</w:t>
            </w:r>
          </w:p>
          <w:p>
            <w:pPr>
              <w:ind w:firstLine="1024" w:firstLineChars="427"/>
              <w:rPr>
                <w:b/>
                <w:bCs/>
                <w:color w:val="auto"/>
                <w:sz w:val="24"/>
                <w:szCs w:val="20"/>
              </w:rPr>
            </w:pPr>
            <w:r>
              <w:rPr>
                <w:rFonts w:hint="eastAsia"/>
                <w:color w:val="auto"/>
                <w:sz w:val="24"/>
                <w:szCs w:val="20"/>
              </w:rPr>
              <w:t>表</w:t>
            </w:r>
            <w:r>
              <w:rPr>
                <w:color w:val="auto"/>
                <w:sz w:val="24"/>
                <w:szCs w:val="20"/>
              </w:rPr>
              <w:t>2</w:t>
            </w:r>
            <w:r>
              <w:rPr>
                <w:rFonts w:hint="eastAsia"/>
                <w:color w:val="auto"/>
                <w:sz w:val="24"/>
                <w:szCs w:val="20"/>
              </w:rPr>
              <w:t>-</w:t>
            </w:r>
            <w:r>
              <w:rPr>
                <w:color w:val="auto"/>
                <w:sz w:val="24"/>
                <w:szCs w:val="20"/>
              </w:rPr>
              <w:t>3</w:t>
            </w:r>
            <w:r>
              <w:rPr>
                <w:rFonts w:hint="eastAsia"/>
                <w:color w:val="auto"/>
                <w:sz w:val="24"/>
                <w:szCs w:val="20"/>
              </w:rPr>
              <w:t xml:space="preserve">         </w:t>
            </w:r>
            <w:r>
              <w:rPr>
                <w:rFonts w:hint="eastAsia"/>
                <w:b/>
                <w:bCs/>
                <w:color w:val="auto"/>
                <w:sz w:val="24"/>
                <w:szCs w:val="20"/>
              </w:rPr>
              <w:t>一、二级明渠水力计算表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442"/>
              <w:gridCol w:w="401"/>
              <w:gridCol w:w="488"/>
              <w:gridCol w:w="566"/>
              <w:gridCol w:w="678"/>
              <w:gridCol w:w="498"/>
              <w:gridCol w:w="566"/>
              <w:gridCol w:w="566"/>
              <w:gridCol w:w="567"/>
              <w:gridCol w:w="444"/>
              <w:gridCol w:w="489"/>
              <w:gridCol w:w="1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22"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桩号</w:t>
                  </w:r>
                </w:p>
              </w:tc>
              <w:tc>
                <w:tcPr>
                  <w:tcW w:w="456"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底宽(m)</w:t>
                  </w:r>
                </w:p>
              </w:tc>
              <w:tc>
                <w:tcPr>
                  <w:tcW w:w="412"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边坡</w:t>
                  </w:r>
                </w:p>
              </w:tc>
              <w:tc>
                <w:tcPr>
                  <w:tcW w:w="506"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水深(m)</w:t>
                  </w:r>
                </w:p>
              </w:tc>
              <w:tc>
                <w:tcPr>
                  <w:tcW w:w="589"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糙率</w:t>
                  </w:r>
                </w:p>
              </w:tc>
              <w:tc>
                <w:tcPr>
                  <w:tcW w:w="709"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已知流量(m3/s)</w:t>
                  </w:r>
                </w:p>
              </w:tc>
              <w:tc>
                <w:tcPr>
                  <w:tcW w:w="516"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比降</w:t>
                  </w:r>
                </w:p>
              </w:tc>
              <w:tc>
                <w:tcPr>
                  <w:tcW w:w="589"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过水面积(m2)</w:t>
                  </w:r>
                </w:p>
              </w:tc>
              <w:tc>
                <w:tcPr>
                  <w:tcW w:w="589"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湿周(m)</w:t>
                  </w:r>
                </w:p>
              </w:tc>
              <w:tc>
                <w:tcPr>
                  <w:tcW w:w="590"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流速(m/s)</w:t>
                  </w:r>
                </w:p>
              </w:tc>
              <w:tc>
                <w:tcPr>
                  <w:tcW w:w="458" w:type="dxa"/>
                  <w:tcBorders>
                    <w:tl2br w:val="nil"/>
                    <w:tr2bl w:val="nil"/>
                  </w:tcBorders>
                  <w:shd w:val="clear" w:color="auto" w:fill="auto"/>
                  <w:noWrap/>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节点</w:t>
                  </w:r>
                </w:p>
              </w:tc>
              <w:tc>
                <w:tcPr>
                  <w:tcW w:w="507" w:type="dxa"/>
                  <w:tcBorders>
                    <w:tl2br w:val="nil"/>
                    <w:tr2bl w:val="nil"/>
                  </w:tcBorders>
                  <w:shd w:val="clear" w:color="auto" w:fill="auto"/>
                  <w:vAlign w:val="center"/>
                </w:tcPr>
                <w:p>
                  <w:pPr>
                    <w:widowControl/>
                    <w:ind w:left="-105" w:leftChars="-50" w:right="-105" w:rightChars="-50"/>
                    <w:jc w:val="center"/>
                    <w:textAlignment w:val="center"/>
                    <w:rPr>
                      <w:b/>
                      <w:bCs/>
                      <w:color w:val="auto"/>
                      <w:kern w:val="0"/>
                      <w:sz w:val="18"/>
                      <w:szCs w:val="18"/>
                      <w:lang w:bidi="ar"/>
                    </w:rPr>
                  </w:pPr>
                  <w:r>
                    <w:rPr>
                      <w:rFonts w:hint="eastAsia"/>
                      <w:b/>
                      <w:bCs/>
                      <w:color w:val="auto"/>
                      <w:kern w:val="0"/>
                      <w:sz w:val="18"/>
                      <w:szCs w:val="18"/>
                      <w:lang w:bidi="ar"/>
                    </w:rPr>
                    <w:t>墙高</w:t>
                  </w:r>
                </w:p>
              </w:tc>
              <w:tc>
                <w:tcPr>
                  <w:tcW w:w="1677" w:type="dxa"/>
                  <w:tcBorders>
                    <w:tl2br w:val="nil"/>
                    <w:tr2bl w:val="nil"/>
                  </w:tcBorders>
                  <w:shd w:val="clear" w:color="auto" w:fill="auto"/>
                  <w:noWrap/>
                  <w:vAlign w:val="center"/>
                </w:tcPr>
                <w:p>
                  <w:pPr>
                    <w:widowControl/>
                    <w:ind w:left="-105" w:leftChars="-50" w:right="-105" w:rightChars="-50"/>
                    <w:jc w:val="center"/>
                    <w:textAlignment w:val="bottom"/>
                    <w:rPr>
                      <w:b/>
                      <w:bCs/>
                      <w:color w:val="auto"/>
                      <w:sz w:val="18"/>
                      <w:szCs w:val="18"/>
                    </w:rPr>
                  </w:pPr>
                  <w:r>
                    <w:rPr>
                      <w:rFonts w:hint="eastAsia"/>
                      <w:b/>
                      <w:bCs/>
                      <w:color w:val="auto"/>
                      <w:kern w:val="0"/>
                      <w:sz w:val="18"/>
                      <w:szCs w:val="18"/>
                      <w:lang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2"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0+018-1+102</w:t>
                  </w:r>
                </w:p>
              </w:tc>
              <w:tc>
                <w:tcPr>
                  <w:tcW w:w="456"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3</w:t>
                  </w:r>
                </w:p>
              </w:tc>
              <w:tc>
                <w:tcPr>
                  <w:tcW w:w="412"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2</w:t>
                  </w:r>
                </w:p>
              </w:tc>
              <w:tc>
                <w:tcPr>
                  <w:tcW w:w="506"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2.61 </w:t>
                  </w:r>
                </w:p>
              </w:tc>
              <w:tc>
                <w:tcPr>
                  <w:tcW w:w="589"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0.04</w:t>
                  </w:r>
                </w:p>
              </w:tc>
              <w:tc>
                <w:tcPr>
                  <w:tcW w:w="709" w:type="dxa"/>
                  <w:tcBorders>
                    <w:tl2br w:val="nil"/>
                    <w:tr2bl w:val="nil"/>
                  </w:tcBorders>
                  <w:shd w:val="clear" w:color="auto" w:fill="auto"/>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53.3</w:t>
                  </w:r>
                </w:p>
              </w:tc>
              <w:tc>
                <w:tcPr>
                  <w:tcW w:w="516"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0.006</w:t>
                  </w:r>
                </w:p>
              </w:tc>
              <w:tc>
                <w:tcPr>
                  <w:tcW w:w="589"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21.39 </w:t>
                  </w:r>
                </w:p>
              </w:tc>
              <w:tc>
                <w:tcPr>
                  <w:tcW w:w="589"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14.65 </w:t>
                  </w:r>
                </w:p>
              </w:tc>
              <w:tc>
                <w:tcPr>
                  <w:tcW w:w="590"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2.49 </w:t>
                  </w:r>
                </w:p>
              </w:tc>
              <w:tc>
                <w:tcPr>
                  <w:tcW w:w="458"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②</w:t>
                  </w:r>
                </w:p>
              </w:tc>
              <w:tc>
                <w:tcPr>
                  <w:tcW w:w="507"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3.00 </w:t>
                  </w:r>
                </w:p>
              </w:tc>
              <w:tc>
                <w:tcPr>
                  <w:tcW w:w="1677" w:type="dxa"/>
                  <w:tcBorders>
                    <w:tl2br w:val="nil"/>
                    <w:tr2bl w:val="nil"/>
                  </w:tcBorders>
                  <w:shd w:val="clear" w:color="auto" w:fill="auto"/>
                  <w:noWrap/>
                  <w:vAlign w:val="center"/>
                </w:tcPr>
                <w:p>
                  <w:pPr>
                    <w:widowControl/>
                    <w:ind w:left="-105" w:leftChars="-50" w:right="-105" w:rightChars="-50"/>
                    <w:jc w:val="center"/>
                    <w:textAlignment w:val="center"/>
                    <w:rPr>
                      <w:color w:val="auto"/>
                      <w:sz w:val="18"/>
                      <w:szCs w:val="18"/>
                    </w:rPr>
                  </w:pPr>
                  <w:r>
                    <w:rPr>
                      <w:rFonts w:hint="eastAsia"/>
                      <w:color w:val="auto"/>
                      <w:kern w:val="0"/>
                      <w:sz w:val="18"/>
                      <w:szCs w:val="18"/>
                      <w:lang w:bidi="ar"/>
                    </w:rPr>
                    <w:t>格宾梯形断面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2"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1+122-1+594.5</w:t>
                  </w:r>
                </w:p>
              </w:tc>
              <w:tc>
                <w:tcPr>
                  <w:tcW w:w="456"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4</w:t>
                  </w:r>
                </w:p>
              </w:tc>
              <w:tc>
                <w:tcPr>
                  <w:tcW w:w="412"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2</w:t>
                  </w:r>
                </w:p>
              </w:tc>
              <w:tc>
                <w:tcPr>
                  <w:tcW w:w="506"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3.19 </w:t>
                  </w:r>
                </w:p>
              </w:tc>
              <w:tc>
                <w:tcPr>
                  <w:tcW w:w="589"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0.04</w:t>
                  </w:r>
                </w:p>
              </w:tc>
              <w:tc>
                <w:tcPr>
                  <w:tcW w:w="709" w:type="dxa"/>
                  <w:tcBorders>
                    <w:tl2br w:val="nil"/>
                    <w:tr2bl w:val="nil"/>
                  </w:tcBorders>
                  <w:shd w:val="clear" w:color="auto" w:fill="auto"/>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55.1</w:t>
                  </w:r>
                </w:p>
              </w:tc>
              <w:tc>
                <w:tcPr>
                  <w:tcW w:w="516"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0.002 </w:t>
                  </w:r>
                </w:p>
              </w:tc>
              <w:tc>
                <w:tcPr>
                  <w:tcW w:w="589"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33.14 </w:t>
                  </w:r>
                </w:p>
              </w:tc>
              <w:tc>
                <w:tcPr>
                  <w:tcW w:w="589"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18.27 </w:t>
                  </w:r>
                </w:p>
              </w:tc>
              <w:tc>
                <w:tcPr>
                  <w:tcW w:w="590"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1.66 </w:t>
                  </w:r>
                </w:p>
              </w:tc>
              <w:tc>
                <w:tcPr>
                  <w:tcW w:w="458"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③</w:t>
                  </w:r>
                </w:p>
              </w:tc>
              <w:tc>
                <w:tcPr>
                  <w:tcW w:w="507" w:type="dxa"/>
                  <w:tcBorders>
                    <w:tl2br w:val="nil"/>
                    <w:tr2bl w:val="nil"/>
                  </w:tcBorders>
                  <w:shd w:val="clear" w:color="auto" w:fill="auto"/>
                  <w:noWrap/>
                  <w:vAlign w:val="center"/>
                </w:tcPr>
                <w:p>
                  <w:pPr>
                    <w:widowControl/>
                    <w:ind w:left="-105" w:leftChars="-50" w:right="-105" w:rightChars="-50"/>
                    <w:jc w:val="center"/>
                    <w:textAlignment w:val="center"/>
                    <w:rPr>
                      <w:color w:val="auto"/>
                      <w:kern w:val="0"/>
                      <w:sz w:val="18"/>
                      <w:szCs w:val="18"/>
                      <w:lang w:bidi="ar"/>
                    </w:rPr>
                  </w:pPr>
                  <w:r>
                    <w:rPr>
                      <w:rFonts w:hint="eastAsia"/>
                      <w:color w:val="auto"/>
                      <w:kern w:val="0"/>
                      <w:sz w:val="18"/>
                      <w:szCs w:val="18"/>
                      <w:lang w:bidi="ar"/>
                    </w:rPr>
                    <w:t xml:space="preserve">3.50 </w:t>
                  </w:r>
                </w:p>
              </w:tc>
              <w:tc>
                <w:tcPr>
                  <w:tcW w:w="1677" w:type="dxa"/>
                  <w:tcBorders>
                    <w:tl2br w:val="nil"/>
                    <w:tr2bl w:val="nil"/>
                  </w:tcBorders>
                  <w:shd w:val="clear" w:color="auto" w:fill="auto"/>
                  <w:noWrap/>
                  <w:vAlign w:val="center"/>
                </w:tcPr>
                <w:p>
                  <w:pPr>
                    <w:widowControl/>
                    <w:ind w:left="-105" w:leftChars="-50" w:right="-105" w:rightChars="-50"/>
                    <w:jc w:val="center"/>
                    <w:textAlignment w:val="center"/>
                    <w:rPr>
                      <w:color w:val="auto"/>
                      <w:sz w:val="18"/>
                      <w:szCs w:val="18"/>
                    </w:rPr>
                  </w:pPr>
                  <w:r>
                    <w:rPr>
                      <w:rFonts w:hint="eastAsia"/>
                      <w:color w:val="auto"/>
                      <w:kern w:val="0"/>
                      <w:sz w:val="18"/>
                      <w:szCs w:val="18"/>
                      <w:lang w:bidi="ar"/>
                    </w:rPr>
                    <w:t>格宾梯形断面</w:t>
                  </w:r>
                </w:p>
              </w:tc>
            </w:tr>
          </w:tbl>
          <w:p>
            <w:pPr>
              <w:pStyle w:val="16"/>
              <w:adjustRightInd w:val="0"/>
              <w:snapToGrid w:val="0"/>
              <w:spacing w:before="72" w:beforeLines="30" w:after="72" w:afterLines="30"/>
              <w:ind w:left="0" w:leftChars="0" w:firstLine="0" w:firstLineChars="0"/>
              <w:jc w:val="center"/>
              <w:rPr>
                <w:color w:val="auto"/>
              </w:rPr>
            </w:pPr>
            <w:r>
              <w:rPr>
                <w:color w:val="auto"/>
              </w:rPr>
              <w:drawing>
                <wp:inline distT="0" distB="0" distL="114300" distR="114300">
                  <wp:extent cx="5393055" cy="2534285"/>
                  <wp:effectExtent l="0" t="0" r="17145" b="18415"/>
                  <wp:docPr id="9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5"/>
                          <pic:cNvPicPr>
                            <a:picLocks noChangeAspect="1"/>
                          </pic:cNvPicPr>
                        </pic:nvPicPr>
                        <pic:blipFill>
                          <a:blip r:embed="rId17"/>
                          <a:stretch>
                            <a:fillRect/>
                          </a:stretch>
                        </pic:blipFill>
                        <pic:spPr>
                          <a:xfrm>
                            <a:off x="0" y="0"/>
                            <a:ext cx="5393055" cy="2534285"/>
                          </a:xfrm>
                          <a:prstGeom prst="rect">
                            <a:avLst/>
                          </a:prstGeom>
                          <a:noFill/>
                          <a:ln>
                            <a:noFill/>
                          </a:ln>
                        </pic:spPr>
                      </pic:pic>
                    </a:graphicData>
                  </a:graphic>
                </wp:inline>
              </w:drawing>
            </w:r>
          </w:p>
          <w:p>
            <w:pPr>
              <w:pStyle w:val="6"/>
              <w:adjustRightInd w:val="0"/>
              <w:snapToGrid w:val="0"/>
              <w:spacing w:before="24" w:beforeLines="10" w:after="0"/>
              <w:ind w:firstLine="0" w:firstLineChars="0"/>
              <w:jc w:val="center"/>
              <w:rPr>
                <w:rFonts w:ascii="Times New Roman" w:hAnsi="Times New Roman" w:eastAsia="宋体"/>
                <w:bCs/>
                <w:color w:val="auto"/>
                <w:sz w:val="24"/>
              </w:rPr>
            </w:pPr>
            <w:r>
              <w:rPr>
                <w:color w:val="auto"/>
              </w:rPr>
              <w:drawing>
                <wp:inline distT="0" distB="0" distL="114300" distR="114300">
                  <wp:extent cx="5396865" cy="2216785"/>
                  <wp:effectExtent l="0" t="0" r="13335" b="12065"/>
                  <wp:docPr id="9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6"/>
                          <pic:cNvPicPr>
                            <a:picLocks noChangeAspect="1"/>
                          </pic:cNvPicPr>
                        </pic:nvPicPr>
                        <pic:blipFill>
                          <a:blip r:embed="rId18"/>
                          <a:stretch>
                            <a:fillRect/>
                          </a:stretch>
                        </pic:blipFill>
                        <pic:spPr>
                          <a:xfrm>
                            <a:off x="0" y="0"/>
                            <a:ext cx="5396865" cy="2216785"/>
                          </a:xfrm>
                          <a:prstGeom prst="rect">
                            <a:avLst/>
                          </a:prstGeom>
                          <a:noFill/>
                          <a:ln>
                            <a:noFill/>
                          </a:ln>
                        </pic:spPr>
                      </pic:pic>
                    </a:graphicData>
                  </a:graphic>
                </wp:inline>
              </w:drawing>
            </w:r>
          </w:p>
          <w:p>
            <w:pPr>
              <w:pStyle w:val="6"/>
              <w:adjustRightInd w:val="0"/>
              <w:snapToGrid w:val="0"/>
              <w:spacing w:before="0" w:after="0" w:line="360" w:lineRule="auto"/>
              <w:ind w:firstLine="1440" w:firstLineChars="600"/>
              <w:rPr>
                <w:rFonts w:ascii="Times New Roman" w:hAnsi="Times New Roman" w:eastAsia="宋体"/>
                <w:bCs/>
                <w:color w:val="auto"/>
                <w:sz w:val="24"/>
              </w:rPr>
            </w:pPr>
            <w:bookmarkStart w:id="12" w:name="_Toc82758613"/>
            <w:r>
              <w:rPr>
                <w:rFonts w:hint="eastAsia" w:ascii="Times New Roman" w:hAnsi="Times New Roman" w:eastAsia="宋体"/>
                <w:b w:val="0"/>
                <w:color w:val="auto"/>
                <w:sz w:val="24"/>
              </w:rPr>
              <w:t>图2-</w:t>
            </w:r>
            <w:r>
              <w:rPr>
                <w:rFonts w:ascii="Times New Roman" w:hAnsi="Times New Roman" w:eastAsia="宋体"/>
                <w:b w:val="0"/>
                <w:color w:val="auto"/>
                <w:sz w:val="24"/>
              </w:rPr>
              <w:t>5</w:t>
            </w:r>
            <w:r>
              <w:rPr>
                <w:rFonts w:hint="eastAsia" w:ascii="Times New Roman" w:hAnsi="Times New Roman" w:eastAsia="宋体"/>
                <w:b w:val="0"/>
                <w:color w:val="auto"/>
                <w:sz w:val="24"/>
              </w:rPr>
              <w:t xml:space="preserve">         </w:t>
            </w:r>
            <w:r>
              <w:rPr>
                <w:rFonts w:hint="eastAsia" w:ascii="Times New Roman" w:hAnsi="Times New Roman" w:eastAsia="宋体"/>
                <w:bCs/>
                <w:color w:val="auto"/>
                <w:sz w:val="24"/>
              </w:rPr>
              <w:t>排洪渠设计设计示意图</w:t>
            </w:r>
          </w:p>
          <w:p>
            <w:pPr>
              <w:pStyle w:val="6"/>
              <w:tabs>
                <w:tab w:val="left" w:pos="854"/>
              </w:tabs>
              <w:adjustRightInd w:val="0"/>
              <w:snapToGrid w:val="0"/>
              <w:spacing w:before="0" w:after="0" w:line="360" w:lineRule="auto"/>
              <w:ind w:firstLine="482"/>
              <w:rPr>
                <w:rFonts w:ascii="Times New Roman" w:hAnsi="Times New Roman" w:eastAsia="宋体"/>
                <w:bCs/>
                <w:color w:val="auto"/>
                <w:kern w:val="2"/>
                <w:sz w:val="24"/>
              </w:rPr>
            </w:pPr>
            <w:r>
              <w:rPr>
                <w:rFonts w:hint="eastAsia" w:ascii="Times New Roman" w:hAnsi="Times New Roman" w:eastAsia="宋体"/>
                <w:bCs/>
                <w:color w:val="auto"/>
                <w:kern w:val="2"/>
                <w:sz w:val="24"/>
              </w:rPr>
              <w:t>2、过路涵洞</w:t>
            </w:r>
            <w:bookmarkEnd w:id="12"/>
          </w:p>
          <w:p>
            <w:pPr>
              <w:pStyle w:val="7"/>
              <w:ind w:firstLine="480"/>
              <w:rPr>
                <w:color w:val="auto"/>
              </w:rPr>
            </w:pPr>
            <w:r>
              <w:rPr>
                <w:rFonts w:hint="eastAsia"/>
                <w:color w:val="auto"/>
              </w:rPr>
              <w:t>一级明渠经王洼二矿进场道路时采用涵洞通过，</w:t>
            </w:r>
            <w:r>
              <w:rPr>
                <w:color w:val="auto"/>
              </w:rPr>
              <w:t>保留其交通运输作用。</w:t>
            </w:r>
            <w:r>
              <w:rPr>
                <w:rFonts w:hint="eastAsia"/>
                <w:color w:val="auto"/>
              </w:rPr>
              <w:t>过路涵洞最大泄量采用水库断面100年一遇洪峰流量53.3m</w:t>
            </w:r>
            <w:r>
              <w:rPr>
                <w:rFonts w:hint="eastAsia"/>
                <w:color w:val="auto"/>
                <w:vertAlign w:val="superscript"/>
              </w:rPr>
              <w:t>3</w:t>
            </w:r>
            <w:r>
              <w:rPr>
                <w:rFonts w:hint="eastAsia"/>
                <w:color w:val="auto"/>
              </w:rPr>
              <w:t>/s。过路涵洞采用</w:t>
            </w:r>
            <w:r>
              <w:rPr>
                <w:color w:val="auto"/>
              </w:rPr>
              <w:t>C30</w:t>
            </w:r>
            <w:r>
              <w:rPr>
                <w:rFonts w:hint="eastAsia"/>
                <w:color w:val="auto"/>
              </w:rPr>
              <w:t>钢筋砼矩形结构，长20m，</w:t>
            </w:r>
            <w:r>
              <w:rPr>
                <w:rFonts w:hint="eastAsia"/>
                <w:color w:val="auto"/>
                <w:lang w:val="eu-ES"/>
              </w:rPr>
              <w:t>进口底板高程</w:t>
            </w:r>
            <w:r>
              <w:rPr>
                <w:color w:val="auto"/>
              </w:rPr>
              <w:t>1701.37m</w:t>
            </w:r>
            <w:r>
              <w:rPr>
                <w:rFonts w:hint="eastAsia"/>
                <w:color w:val="auto"/>
                <w:lang w:val="eu-ES"/>
              </w:rPr>
              <w:t>，</w:t>
            </w:r>
            <w:r>
              <w:rPr>
                <w:rFonts w:hint="eastAsia"/>
                <w:color w:val="auto"/>
              </w:rPr>
              <w:t>布设为双孔，单孔尺寸拟定为：</w:t>
            </w:r>
            <w:r>
              <w:rPr>
                <w:color w:val="auto"/>
              </w:rPr>
              <w:t>3.5m×3.5m</w:t>
            </w:r>
            <w:r>
              <w:rPr>
                <w:rFonts w:hint="eastAsia"/>
                <w:color w:val="auto"/>
              </w:rPr>
              <w:t>（宽</w:t>
            </w:r>
            <w:r>
              <w:rPr>
                <w:color w:val="auto"/>
              </w:rPr>
              <w:t>×</w:t>
            </w:r>
            <w:r>
              <w:rPr>
                <w:rFonts w:hint="eastAsia"/>
                <w:color w:val="auto"/>
              </w:rPr>
              <w:t>高），比降</w:t>
            </w:r>
            <w:r>
              <w:rPr>
                <w:color w:val="auto"/>
              </w:rPr>
              <w:t>1/100</w:t>
            </w:r>
            <w:r>
              <w:rPr>
                <w:rFonts w:hint="eastAsia"/>
                <w:color w:val="auto"/>
              </w:rPr>
              <w:t>。过路涵洞水力计算见表</w:t>
            </w:r>
            <w:r>
              <w:rPr>
                <w:color w:val="auto"/>
              </w:rPr>
              <w:t>2</w:t>
            </w:r>
            <w:r>
              <w:rPr>
                <w:rFonts w:hint="eastAsia"/>
                <w:color w:val="auto"/>
              </w:rPr>
              <w:t>-</w:t>
            </w:r>
            <w:r>
              <w:rPr>
                <w:color w:val="auto"/>
              </w:rPr>
              <w:t>4</w:t>
            </w:r>
            <w:r>
              <w:rPr>
                <w:rFonts w:hint="eastAsia"/>
                <w:color w:val="auto"/>
              </w:rPr>
              <w:t>。</w:t>
            </w:r>
          </w:p>
          <w:p>
            <w:pPr>
              <w:pStyle w:val="7"/>
              <w:spacing w:line="240" w:lineRule="auto"/>
              <w:ind w:firstLine="480"/>
              <w:rPr>
                <w:b/>
                <w:bCs/>
                <w:color w:val="auto"/>
              </w:rPr>
            </w:pPr>
            <w:r>
              <w:rPr>
                <w:rFonts w:hint="eastAsia"/>
                <w:color w:val="auto"/>
              </w:rPr>
              <w:t>表</w:t>
            </w:r>
            <w:r>
              <w:rPr>
                <w:color w:val="auto"/>
              </w:rPr>
              <w:t>2</w:t>
            </w:r>
            <w:r>
              <w:rPr>
                <w:rFonts w:hint="eastAsia"/>
                <w:color w:val="auto"/>
              </w:rPr>
              <w:t>-</w:t>
            </w:r>
            <w:r>
              <w:rPr>
                <w:color w:val="auto"/>
              </w:rPr>
              <w:t>4</w:t>
            </w:r>
            <w:r>
              <w:rPr>
                <w:rFonts w:hint="eastAsia"/>
                <w:color w:val="auto"/>
              </w:rPr>
              <w:t xml:space="preserve">           </w:t>
            </w:r>
            <w:r>
              <w:rPr>
                <w:rFonts w:hint="eastAsia"/>
                <w:b/>
                <w:bCs/>
                <w:color w:val="auto"/>
              </w:rPr>
              <w:t xml:space="preserve"> 过路涵洞水力计算表</w:t>
            </w:r>
          </w:p>
          <w:tbl>
            <w:tblPr>
              <w:tblStyle w:val="19"/>
              <w:tblW w:w="492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67"/>
              <w:gridCol w:w="658"/>
              <w:gridCol w:w="394"/>
              <w:gridCol w:w="437"/>
              <w:gridCol w:w="330"/>
              <w:gridCol w:w="330"/>
              <w:gridCol w:w="649"/>
              <w:gridCol w:w="582"/>
              <w:gridCol w:w="565"/>
              <w:gridCol w:w="311"/>
              <w:gridCol w:w="679"/>
              <w:gridCol w:w="424"/>
              <w:gridCol w:w="567"/>
              <w:gridCol w:w="710"/>
              <w:gridCol w:w="6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588" w:type="pct"/>
                  <w:noWrap/>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桩号</w:t>
                  </w:r>
                </w:p>
              </w:tc>
              <w:tc>
                <w:tcPr>
                  <w:tcW w:w="400"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宽顶堰底板高程</w:t>
                  </w:r>
                  <w:r>
                    <w:rPr>
                      <w:b/>
                      <w:bCs/>
                      <w:color w:val="auto"/>
                      <w:kern w:val="0"/>
                      <w:sz w:val="18"/>
                      <w:szCs w:val="18"/>
                      <w:lang w:bidi="ar"/>
                    </w:rPr>
                    <w:t>(m)</w:t>
                  </w:r>
                </w:p>
              </w:tc>
              <w:tc>
                <w:tcPr>
                  <w:tcW w:w="240"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底宽</w:t>
                  </w:r>
                  <w:r>
                    <w:rPr>
                      <w:b/>
                      <w:bCs/>
                      <w:color w:val="auto"/>
                      <w:kern w:val="0"/>
                      <w:sz w:val="18"/>
                      <w:szCs w:val="18"/>
                      <w:lang w:bidi="ar"/>
                    </w:rPr>
                    <w:t>(m)</w:t>
                  </w:r>
                </w:p>
              </w:tc>
              <w:tc>
                <w:tcPr>
                  <w:tcW w:w="266"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流量系数</w:t>
                  </w:r>
                </w:p>
              </w:tc>
              <w:tc>
                <w:tcPr>
                  <w:tcW w:w="201"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淹没系数</w:t>
                  </w:r>
                </w:p>
              </w:tc>
              <w:tc>
                <w:tcPr>
                  <w:tcW w:w="201"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孔数</w:t>
                  </w:r>
                </w:p>
              </w:tc>
              <w:tc>
                <w:tcPr>
                  <w:tcW w:w="395"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堰前水位</w:t>
                  </w:r>
                  <w:r>
                    <w:rPr>
                      <w:b/>
                      <w:bCs/>
                      <w:color w:val="auto"/>
                      <w:kern w:val="0"/>
                      <w:sz w:val="18"/>
                      <w:szCs w:val="18"/>
                      <w:lang w:bidi="ar"/>
                    </w:rPr>
                    <w:t>(m)</w:t>
                  </w:r>
                </w:p>
              </w:tc>
              <w:tc>
                <w:tcPr>
                  <w:tcW w:w="354"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堰前水深</w:t>
                  </w:r>
                  <w:r>
                    <w:rPr>
                      <w:b/>
                      <w:bCs/>
                      <w:color w:val="auto"/>
                      <w:kern w:val="0"/>
                      <w:sz w:val="18"/>
                      <w:szCs w:val="18"/>
                      <w:lang w:bidi="ar"/>
                    </w:rPr>
                    <w:t>(m)</w:t>
                  </w:r>
                </w:p>
              </w:tc>
              <w:tc>
                <w:tcPr>
                  <w:tcW w:w="344"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流量</w:t>
                  </w:r>
                  <w:r>
                    <w:rPr>
                      <w:b/>
                      <w:bCs/>
                      <w:color w:val="auto"/>
                      <w:kern w:val="0"/>
                      <w:sz w:val="18"/>
                      <w:szCs w:val="18"/>
                      <w:lang w:bidi="ar"/>
                    </w:rPr>
                    <w:t>(m</w:t>
                  </w:r>
                  <w:r>
                    <w:rPr>
                      <w:b/>
                      <w:bCs/>
                      <w:color w:val="auto"/>
                      <w:kern w:val="0"/>
                      <w:sz w:val="18"/>
                      <w:szCs w:val="18"/>
                      <w:vertAlign w:val="superscript"/>
                      <w:lang w:bidi="ar"/>
                    </w:rPr>
                    <w:t>3</w:t>
                  </w:r>
                  <w:r>
                    <w:rPr>
                      <w:b/>
                      <w:bCs/>
                      <w:color w:val="auto"/>
                      <w:kern w:val="0"/>
                      <w:sz w:val="18"/>
                      <w:szCs w:val="18"/>
                      <w:lang w:bidi="ar"/>
                    </w:rPr>
                    <w:t>/s</w:t>
                  </w:r>
                  <w:r>
                    <w:rPr>
                      <w:rFonts w:hint="eastAsia"/>
                      <w:b/>
                      <w:bCs/>
                      <w:color w:val="auto"/>
                      <w:kern w:val="0"/>
                      <w:sz w:val="18"/>
                      <w:szCs w:val="18"/>
                      <w:lang w:bidi="ar"/>
                    </w:rPr>
                    <w:t>)</w:t>
                  </w:r>
                </w:p>
              </w:tc>
              <w:tc>
                <w:tcPr>
                  <w:tcW w:w="189" w:type="pct"/>
                  <w:shd w:val="clear" w:color="auto" w:fill="FFFFFF"/>
                  <w:noWrap/>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节点</w:t>
                  </w:r>
                </w:p>
              </w:tc>
              <w:tc>
                <w:tcPr>
                  <w:tcW w:w="413"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过水面积</w:t>
                  </w:r>
                  <w:r>
                    <w:rPr>
                      <w:b/>
                      <w:bCs/>
                      <w:color w:val="auto"/>
                      <w:kern w:val="0"/>
                      <w:sz w:val="18"/>
                      <w:szCs w:val="18"/>
                      <w:lang w:bidi="ar"/>
                    </w:rPr>
                    <w:t>(m</w:t>
                  </w:r>
                  <w:r>
                    <w:rPr>
                      <w:b/>
                      <w:bCs/>
                      <w:color w:val="auto"/>
                      <w:kern w:val="0"/>
                      <w:sz w:val="18"/>
                      <w:szCs w:val="18"/>
                      <w:vertAlign w:val="superscript"/>
                      <w:lang w:bidi="ar"/>
                    </w:rPr>
                    <w:t>2</w:t>
                  </w:r>
                  <w:r>
                    <w:rPr>
                      <w:b/>
                      <w:bCs/>
                      <w:color w:val="auto"/>
                      <w:kern w:val="0"/>
                      <w:sz w:val="18"/>
                      <w:szCs w:val="18"/>
                      <w:lang w:bidi="ar"/>
                    </w:rPr>
                    <w:t>)</w:t>
                  </w:r>
                </w:p>
              </w:tc>
              <w:tc>
                <w:tcPr>
                  <w:tcW w:w="258"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比降</w:t>
                  </w:r>
                </w:p>
              </w:tc>
              <w:tc>
                <w:tcPr>
                  <w:tcW w:w="345"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墙高</w:t>
                  </w:r>
                  <w:r>
                    <w:rPr>
                      <w:b/>
                      <w:bCs/>
                      <w:color w:val="auto"/>
                      <w:kern w:val="0"/>
                      <w:sz w:val="18"/>
                      <w:szCs w:val="18"/>
                      <w:lang w:bidi="ar"/>
                    </w:rPr>
                    <w:t>(m)</w:t>
                  </w:r>
                </w:p>
              </w:tc>
              <w:tc>
                <w:tcPr>
                  <w:tcW w:w="432" w:type="pct"/>
                  <w:shd w:val="clear" w:color="auto" w:fill="FFFFFF"/>
                  <w:noWrap/>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净空面积比</w:t>
                  </w:r>
                </w:p>
              </w:tc>
              <w:tc>
                <w:tcPr>
                  <w:tcW w:w="374" w:type="pct"/>
                  <w:shd w:val="clear" w:color="auto" w:fill="FFFFFF"/>
                  <w:vAlign w:val="center"/>
                </w:tcPr>
                <w:p>
                  <w:pPr>
                    <w:widowControl/>
                    <w:jc w:val="center"/>
                    <w:textAlignment w:val="center"/>
                    <w:rPr>
                      <w:b/>
                      <w:bCs/>
                      <w:color w:val="auto"/>
                      <w:kern w:val="0"/>
                      <w:sz w:val="18"/>
                      <w:szCs w:val="18"/>
                      <w:lang w:bidi="ar"/>
                    </w:rPr>
                  </w:pPr>
                  <w:r>
                    <w:rPr>
                      <w:rFonts w:hint="eastAsia"/>
                      <w:b/>
                      <w:bCs/>
                      <w:color w:val="auto"/>
                      <w:kern w:val="0"/>
                      <w:sz w:val="18"/>
                      <w:szCs w:val="18"/>
                      <w:lang w:bidi="ar"/>
                    </w:rPr>
                    <w:t>净空高度</w:t>
                  </w:r>
                  <w:r>
                    <w:rPr>
                      <w:b/>
                      <w:bCs/>
                      <w:color w:val="auto"/>
                      <w:kern w:val="0"/>
                      <w:sz w:val="18"/>
                      <w:szCs w:val="18"/>
                      <w:lang w:bidi="ar"/>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88" w:type="pct"/>
                  <w:noWrap/>
                  <w:vAlign w:val="center"/>
                </w:tcPr>
                <w:p>
                  <w:pPr>
                    <w:widowControl/>
                    <w:jc w:val="center"/>
                    <w:textAlignment w:val="center"/>
                    <w:rPr>
                      <w:color w:val="auto"/>
                      <w:kern w:val="0"/>
                      <w:sz w:val="18"/>
                      <w:szCs w:val="18"/>
                      <w:lang w:bidi="ar"/>
                    </w:rPr>
                  </w:pPr>
                  <w:r>
                    <w:rPr>
                      <w:color w:val="auto"/>
                      <w:kern w:val="0"/>
                      <w:sz w:val="18"/>
                      <w:szCs w:val="18"/>
                      <w:lang w:bidi="ar"/>
                    </w:rPr>
                    <w:t>1+102-1+122</w:t>
                  </w:r>
                </w:p>
              </w:tc>
              <w:tc>
                <w:tcPr>
                  <w:tcW w:w="400"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1701.37</w:t>
                  </w:r>
                </w:p>
              </w:tc>
              <w:tc>
                <w:tcPr>
                  <w:tcW w:w="240"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3.5</w:t>
                  </w:r>
                </w:p>
              </w:tc>
              <w:tc>
                <w:tcPr>
                  <w:tcW w:w="266"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0.36</w:t>
                  </w:r>
                </w:p>
              </w:tc>
              <w:tc>
                <w:tcPr>
                  <w:tcW w:w="201"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1</w:t>
                  </w:r>
                </w:p>
              </w:tc>
              <w:tc>
                <w:tcPr>
                  <w:tcW w:w="201"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2</w:t>
                  </w:r>
                </w:p>
              </w:tc>
              <w:tc>
                <w:tcPr>
                  <w:tcW w:w="395"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1704.21</w:t>
                  </w:r>
                </w:p>
              </w:tc>
              <w:tc>
                <w:tcPr>
                  <w:tcW w:w="354"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2.84</w:t>
                  </w:r>
                </w:p>
              </w:tc>
              <w:tc>
                <w:tcPr>
                  <w:tcW w:w="344" w:type="pct"/>
                  <w:shd w:val="clear" w:color="auto" w:fill="FFFFFF"/>
                  <w:vAlign w:val="center"/>
                </w:tcPr>
                <w:p>
                  <w:pPr>
                    <w:widowControl/>
                    <w:jc w:val="center"/>
                    <w:textAlignment w:val="center"/>
                    <w:rPr>
                      <w:color w:val="auto"/>
                      <w:kern w:val="0"/>
                      <w:sz w:val="18"/>
                      <w:szCs w:val="18"/>
                      <w:lang w:bidi="ar"/>
                    </w:rPr>
                  </w:pPr>
                  <w:r>
                    <w:rPr>
                      <w:color w:val="auto"/>
                      <w:kern w:val="0"/>
                      <w:sz w:val="18"/>
                      <w:szCs w:val="18"/>
                      <w:lang w:bidi="ar"/>
                    </w:rPr>
                    <w:t>53.3</w:t>
                  </w:r>
                </w:p>
              </w:tc>
              <w:tc>
                <w:tcPr>
                  <w:tcW w:w="189" w:type="pct"/>
                  <w:shd w:val="clear" w:color="auto" w:fill="FFFFFF"/>
                  <w:noWrap/>
                  <w:vAlign w:val="center"/>
                </w:tcPr>
                <w:p>
                  <w:pPr>
                    <w:widowControl/>
                    <w:jc w:val="center"/>
                    <w:textAlignment w:val="center"/>
                    <w:rPr>
                      <w:color w:val="auto"/>
                      <w:kern w:val="0"/>
                      <w:sz w:val="18"/>
                      <w:szCs w:val="18"/>
                      <w:lang w:bidi="ar"/>
                    </w:rPr>
                  </w:pPr>
                  <w:r>
                    <w:rPr>
                      <w:rFonts w:hint="eastAsia"/>
                      <w:color w:val="auto"/>
                      <w:kern w:val="0"/>
                      <w:sz w:val="18"/>
                      <w:szCs w:val="18"/>
                      <w:lang w:bidi="ar"/>
                    </w:rPr>
                    <w:t>②</w:t>
                  </w:r>
                </w:p>
              </w:tc>
              <w:tc>
                <w:tcPr>
                  <w:tcW w:w="413"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9.93</w:t>
                  </w:r>
                </w:p>
              </w:tc>
              <w:tc>
                <w:tcPr>
                  <w:tcW w:w="258"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0.01</w:t>
                  </w:r>
                </w:p>
              </w:tc>
              <w:tc>
                <w:tcPr>
                  <w:tcW w:w="345"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3.5</w:t>
                  </w:r>
                </w:p>
              </w:tc>
              <w:tc>
                <w:tcPr>
                  <w:tcW w:w="432" w:type="pct"/>
                  <w:shd w:val="clear" w:color="auto" w:fill="FFFFFF"/>
                  <w:noWrap/>
                  <w:vAlign w:val="center"/>
                </w:tcPr>
                <w:p>
                  <w:pPr>
                    <w:widowControl/>
                    <w:jc w:val="center"/>
                    <w:textAlignment w:val="center"/>
                    <w:rPr>
                      <w:color w:val="auto"/>
                      <w:kern w:val="0"/>
                      <w:sz w:val="18"/>
                      <w:szCs w:val="18"/>
                      <w:lang w:bidi="ar"/>
                    </w:rPr>
                  </w:pPr>
                  <w:r>
                    <w:rPr>
                      <w:color w:val="auto"/>
                      <w:kern w:val="0"/>
                      <w:sz w:val="18"/>
                      <w:szCs w:val="18"/>
                      <w:lang w:bidi="ar"/>
                    </w:rPr>
                    <w:t>0.19</w:t>
                  </w:r>
                </w:p>
              </w:tc>
              <w:tc>
                <w:tcPr>
                  <w:tcW w:w="374" w:type="pct"/>
                  <w:noWrap/>
                  <w:vAlign w:val="center"/>
                </w:tcPr>
                <w:p>
                  <w:pPr>
                    <w:widowControl/>
                    <w:jc w:val="center"/>
                    <w:textAlignment w:val="center"/>
                    <w:rPr>
                      <w:color w:val="auto"/>
                      <w:kern w:val="0"/>
                      <w:sz w:val="18"/>
                      <w:szCs w:val="18"/>
                      <w:lang w:bidi="ar"/>
                    </w:rPr>
                  </w:pPr>
                  <w:r>
                    <w:rPr>
                      <w:color w:val="auto"/>
                      <w:kern w:val="0"/>
                      <w:sz w:val="18"/>
                      <w:szCs w:val="18"/>
                      <w:lang w:bidi="ar"/>
                    </w:rPr>
                    <w:t>0.66</w:t>
                  </w:r>
                </w:p>
              </w:tc>
            </w:tr>
          </w:tbl>
          <w:p>
            <w:pPr>
              <w:pStyle w:val="8"/>
              <w:rPr>
                <w:color w:val="auto"/>
              </w:rPr>
            </w:pPr>
          </w:p>
          <w:p>
            <w:pPr>
              <w:pStyle w:val="7"/>
              <w:ind w:firstLine="480"/>
              <w:rPr>
                <w:color w:val="auto"/>
              </w:rPr>
            </w:pPr>
            <w:r>
              <w:rPr>
                <w:rFonts w:hint="eastAsia"/>
                <w:color w:val="auto"/>
              </w:rPr>
              <w:t>涵洞保持无压流的条件为：净空断面积一般为洞身横断面的</w:t>
            </w:r>
            <w:r>
              <w:rPr>
                <w:color w:val="auto"/>
              </w:rPr>
              <w:t>10%-30%</w:t>
            </w:r>
            <w:r>
              <w:rPr>
                <w:rFonts w:hint="eastAsia"/>
                <w:color w:val="auto"/>
              </w:rPr>
              <w:t>，且净空高度不小于</w:t>
            </w:r>
            <w:r>
              <w:rPr>
                <w:color w:val="auto"/>
              </w:rPr>
              <w:t>0.4m</w:t>
            </w:r>
            <w:r>
              <w:rPr>
                <w:rFonts w:hint="eastAsia"/>
                <w:color w:val="auto"/>
              </w:rPr>
              <w:t>。本次过路涵洞上部净空面积占泄洪洞总面积的19%，净空高度为0.66m，因此过路涵洞尺寸3.5m×3.5m（宽×高）满足无压过流条件。</w:t>
            </w:r>
          </w:p>
          <w:p>
            <w:pPr>
              <w:pStyle w:val="7"/>
              <w:ind w:firstLine="480"/>
              <w:rPr>
                <w:color w:val="auto"/>
              </w:rPr>
            </w:pPr>
            <w:r>
              <w:rPr>
                <w:rFonts w:hint="eastAsia"/>
                <w:color w:val="auto"/>
              </w:rPr>
              <w:t>过路涵洞</w:t>
            </w:r>
            <w:r>
              <w:rPr>
                <w:rFonts w:hint="eastAsia"/>
                <w:color w:val="auto"/>
                <w:lang w:val="eu-ES"/>
              </w:rPr>
              <w:t>为现浇钢筋砼箱涵结构，</w:t>
            </w:r>
            <w:r>
              <w:rPr>
                <w:rFonts w:hint="eastAsia"/>
                <w:color w:val="auto"/>
              </w:rPr>
              <w:t>高</w:t>
            </w:r>
            <w:r>
              <w:rPr>
                <w:color w:val="auto"/>
              </w:rPr>
              <w:t>3.5m</w:t>
            </w:r>
            <w:r>
              <w:rPr>
                <w:rFonts w:hint="eastAsia"/>
                <w:color w:val="auto"/>
              </w:rPr>
              <w:t>，单孔宽</w:t>
            </w:r>
            <w:r>
              <w:rPr>
                <w:color w:val="auto"/>
              </w:rPr>
              <w:t>3.5m</w:t>
            </w:r>
            <w:r>
              <w:rPr>
                <w:rFonts w:hint="eastAsia"/>
                <w:color w:val="auto"/>
              </w:rPr>
              <w:t>，设</w:t>
            </w:r>
            <w:r>
              <w:rPr>
                <w:color w:val="auto"/>
              </w:rPr>
              <w:t>2</w:t>
            </w:r>
            <w:r>
              <w:rPr>
                <w:rFonts w:hint="eastAsia"/>
                <w:color w:val="auto"/>
              </w:rPr>
              <w:t>孔，中墩顶宽</w:t>
            </w:r>
            <w:r>
              <w:rPr>
                <w:color w:val="auto"/>
              </w:rPr>
              <w:t>0.8m</w:t>
            </w:r>
            <w:r>
              <w:rPr>
                <w:rFonts w:hint="eastAsia"/>
                <w:color w:val="auto"/>
              </w:rPr>
              <w:t>，边墩为</w:t>
            </w:r>
            <w:r>
              <w:rPr>
                <w:rFonts w:hint="eastAsia"/>
                <w:color w:val="auto"/>
                <w:lang w:val="eu-ES"/>
              </w:rPr>
              <w:t>重力式八字墙，顶宽</w:t>
            </w:r>
            <w:r>
              <w:rPr>
                <w:color w:val="auto"/>
              </w:rPr>
              <w:t>0.5</w:t>
            </w:r>
            <w:r>
              <w:rPr>
                <w:color w:val="auto"/>
                <w:lang w:val="eu-ES"/>
              </w:rPr>
              <w:t>m</w:t>
            </w:r>
            <w:r>
              <w:rPr>
                <w:rFonts w:hint="eastAsia"/>
                <w:color w:val="auto"/>
                <w:lang w:val="eu-ES"/>
              </w:rPr>
              <w:t>，内边坡铅直，外边坡</w:t>
            </w:r>
            <w:r>
              <w:rPr>
                <w:color w:val="auto"/>
                <w:lang w:val="eu-ES"/>
              </w:rPr>
              <w:t>1:0.2</w:t>
            </w:r>
            <w:r>
              <w:rPr>
                <w:rFonts w:hint="eastAsia"/>
                <w:color w:val="auto"/>
                <w:lang w:val="eu-ES"/>
              </w:rPr>
              <w:t>，</w:t>
            </w:r>
            <w:r>
              <w:rPr>
                <w:rFonts w:hint="eastAsia"/>
                <w:color w:val="auto"/>
              </w:rPr>
              <w:t>顶板厚</w:t>
            </w:r>
            <w:r>
              <w:rPr>
                <w:color w:val="auto"/>
              </w:rPr>
              <w:t>0.5m</w:t>
            </w:r>
            <w:r>
              <w:rPr>
                <w:rFonts w:hint="eastAsia"/>
                <w:color w:val="auto"/>
              </w:rPr>
              <w:t>，底板厚</w:t>
            </w:r>
            <w:r>
              <w:rPr>
                <w:color w:val="auto"/>
              </w:rPr>
              <w:t>0.6m</w:t>
            </w:r>
            <w:r>
              <w:rPr>
                <w:rFonts w:hint="eastAsia"/>
                <w:color w:val="auto"/>
              </w:rPr>
              <w:t>，顺水流总长度</w:t>
            </w:r>
            <w:r>
              <w:rPr>
                <w:color w:val="auto"/>
              </w:rPr>
              <w:t>20.0m</w:t>
            </w:r>
            <w:r>
              <w:rPr>
                <w:rFonts w:hint="eastAsia"/>
                <w:color w:val="auto"/>
              </w:rPr>
              <w:t>。</w:t>
            </w:r>
            <w:r>
              <w:rPr>
                <w:rFonts w:hint="eastAsia"/>
                <w:color w:val="auto"/>
                <w:lang w:val="eu-ES"/>
              </w:rPr>
              <w:t>底板下设</w:t>
            </w:r>
            <w:r>
              <w:rPr>
                <w:color w:val="auto"/>
                <w:lang w:val="eu-ES"/>
              </w:rPr>
              <w:t>0.1m</w:t>
            </w:r>
            <w:r>
              <w:rPr>
                <w:rFonts w:hint="eastAsia"/>
                <w:color w:val="auto"/>
                <w:lang w:val="eu-ES"/>
              </w:rPr>
              <w:t>厚的</w:t>
            </w:r>
            <w:r>
              <w:rPr>
                <w:color w:val="auto"/>
                <w:lang w:val="eu-ES"/>
              </w:rPr>
              <w:t>C</w:t>
            </w:r>
            <w:r>
              <w:rPr>
                <w:color w:val="auto"/>
              </w:rPr>
              <w:t>20</w:t>
            </w:r>
            <w:r>
              <w:rPr>
                <w:rFonts w:hint="eastAsia"/>
                <w:color w:val="auto"/>
                <w:lang w:val="eu-ES"/>
              </w:rPr>
              <w:t>素砼垫层，基础采用</w:t>
            </w:r>
            <w:r>
              <w:rPr>
                <w:color w:val="auto"/>
                <w:lang w:val="eu-ES"/>
              </w:rPr>
              <w:t>1.0</w:t>
            </w:r>
            <w:r>
              <w:rPr>
                <w:rFonts w:hint="eastAsia"/>
                <w:color w:val="auto"/>
                <w:lang w:val="eu-ES"/>
              </w:rPr>
              <w:t>米厚</w:t>
            </w:r>
            <w:r>
              <w:rPr>
                <w:color w:val="auto"/>
                <w:lang w:val="eu-ES"/>
              </w:rPr>
              <w:t>2</w:t>
            </w:r>
            <w:r>
              <w:rPr>
                <w:rFonts w:hint="eastAsia"/>
                <w:color w:val="auto"/>
                <w:lang w:val="eu-ES"/>
              </w:rPr>
              <w:t>：</w:t>
            </w:r>
            <w:r>
              <w:rPr>
                <w:color w:val="auto"/>
                <w:lang w:val="eu-ES"/>
              </w:rPr>
              <w:t>8</w:t>
            </w:r>
            <w:r>
              <w:rPr>
                <w:rFonts w:hint="eastAsia"/>
                <w:color w:val="auto"/>
                <w:lang w:val="eu-ES"/>
              </w:rPr>
              <w:t>水泥土换填方式处理，压实度不小于</w:t>
            </w:r>
            <w:r>
              <w:rPr>
                <w:color w:val="auto"/>
                <w:lang w:val="eu-ES"/>
              </w:rPr>
              <w:t>0.97</w:t>
            </w:r>
            <w:r>
              <w:rPr>
                <w:rFonts w:hint="eastAsia"/>
                <w:color w:val="auto"/>
                <w:lang w:val="eu-ES"/>
              </w:rPr>
              <w:t>，</w:t>
            </w:r>
            <w:r>
              <w:rPr>
                <w:rFonts w:hint="eastAsia"/>
                <w:color w:val="auto"/>
              </w:rPr>
              <w:t>侧墙</w:t>
            </w:r>
            <w:r>
              <w:rPr>
                <w:rFonts w:hint="eastAsia"/>
                <w:color w:val="auto"/>
                <w:lang w:val="eu-ES"/>
              </w:rPr>
              <w:t>回填土压实度不小于</w:t>
            </w:r>
            <w:r>
              <w:rPr>
                <w:color w:val="auto"/>
                <w:lang w:val="eu-ES"/>
              </w:rPr>
              <w:t>0.95</w:t>
            </w:r>
            <w:r>
              <w:rPr>
                <w:rFonts w:hint="eastAsia"/>
                <w:color w:val="auto"/>
                <w:lang w:val="eu-ES"/>
              </w:rPr>
              <w:t>。</w:t>
            </w:r>
          </w:p>
          <w:p>
            <w:pPr>
              <w:pStyle w:val="7"/>
              <w:ind w:firstLine="480"/>
              <w:rPr>
                <w:color w:val="auto"/>
              </w:rPr>
            </w:pPr>
            <w:r>
              <w:rPr>
                <w:rFonts w:hint="eastAsia"/>
                <w:color w:val="auto"/>
              </w:rPr>
              <w:t>涵洞段土方回填时先对建筑物表面采用风枪吹扫干净，同时洒水湿润，并边涂刷红粘土浆、边铺土、边夯实。泥浆涂刷高度必须与铺土厚度一致，并与下部涂层衔接，严禁泥浆干固后铺土和压实。</w:t>
            </w:r>
          </w:p>
          <w:p>
            <w:pPr>
              <w:pStyle w:val="35"/>
              <w:spacing w:before="24" w:after="24"/>
              <w:ind w:left="0" w:leftChars="0"/>
              <w:rPr>
                <w:color w:val="auto"/>
              </w:rPr>
            </w:pPr>
            <w:r>
              <w:rPr>
                <w:color w:val="auto"/>
              </w:rPr>
              <w:drawing>
                <wp:inline distT="0" distB="0" distL="0" distR="0">
                  <wp:extent cx="5274310" cy="17640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l="764"/>
                          <a:stretch>
                            <a:fillRect/>
                          </a:stretch>
                        </pic:blipFill>
                        <pic:spPr>
                          <a:xfrm>
                            <a:off x="0" y="0"/>
                            <a:ext cx="5274310" cy="1764030"/>
                          </a:xfrm>
                          <a:prstGeom prst="rect">
                            <a:avLst/>
                          </a:prstGeom>
                          <a:noFill/>
                          <a:ln>
                            <a:noFill/>
                          </a:ln>
                        </pic:spPr>
                      </pic:pic>
                    </a:graphicData>
                  </a:graphic>
                </wp:inline>
              </w:drawing>
            </w:r>
          </w:p>
          <w:p>
            <w:pPr>
              <w:pStyle w:val="6"/>
              <w:adjustRightInd w:val="0"/>
              <w:snapToGrid w:val="0"/>
              <w:spacing w:before="0" w:after="0" w:line="360" w:lineRule="auto"/>
              <w:ind w:firstLine="1440" w:firstLineChars="600"/>
              <w:rPr>
                <w:rFonts w:ascii="Times New Roman" w:hAnsi="Times New Roman" w:eastAsia="宋体"/>
                <w:bCs/>
                <w:color w:val="auto"/>
                <w:sz w:val="24"/>
              </w:rPr>
            </w:pPr>
            <w:bookmarkStart w:id="13" w:name="_Toc82758614"/>
            <w:r>
              <w:rPr>
                <w:rFonts w:hint="eastAsia" w:ascii="Times New Roman" w:hAnsi="Times New Roman" w:eastAsia="宋体"/>
                <w:b w:val="0"/>
                <w:color w:val="auto"/>
                <w:sz w:val="24"/>
              </w:rPr>
              <w:t>图2-</w:t>
            </w:r>
            <w:r>
              <w:rPr>
                <w:rFonts w:ascii="Times New Roman" w:hAnsi="Times New Roman" w:eastAsia="宋体"/>
                <w:b w:val="0"/>
                <w:color w:val="auto"/>
                <w:sz w:val="24"/>
              </w:rPr>
              <w:t>6</w:t>
            </w:r>
            <w:r>
              <w:rPr>
                <w:rFonts w:hint="eastAsia" w:ascii="Times New Roman" w:hAnsi="Times New Roman" w:eastAsia="宋体"/>
                <w:b w:val="0"/>
                <w:color w:val="auto"/>
                <w:sz w:val="24"/>
              </w:rPr>
              <w:t xml:space="preserve">         </w:t>
            </w:r>
            <w:r>
              <w:rPr>
                <w:rFonts w:hint="eastAsia" w:ascii="Times New Roman" w:hAnsi="Times New Roman" w:eastAsia="宋体"/>
                <w:bCs/>
                <w:color w:val="auto"/>
                <w:kern w:val="2"/>
                <w:sz w:val="24"/>
              </w:rPr>
              <w:t>过路涵洞</w:t>
            </w:r>
            <w:r>
              <w:rPr>
                <w:rFonts w:hint="eastAsia" w:ascii="Times New Roman" w:hAnsi="Times New Roman" w:eastAsia="宋体"/>
                <w:bCs/>
                <w:color w:val="auto"/>
                <w:sz w:val="24"/>
              </w:rPr>
              <w:t>设计设计示意图</w:t>
            </w:r>
          </w:p>
          <w:p>
            <w:pPr>
              <w:pStyle w:val="6"/>
              <w:tabs>
                <w:tab w:val="left" w:pos="854"/>
              </w:tabs>
              <w:adjustRightInd w:val="0"/>
              <w:snapToGrid w:val="0"/>
              <w:spacing w:before="0" w:after="0" w:line="360" w:lineRule="auto"/>
              <w:ind w:firstLine="482"/>
              <w:rPr>
                <w:rFonts w:ascii="Times New Roman" w:hAnsi="Times New Roman" w:eastAsia="宋体"/>
                <w:bCs/>
                <w:color w:val="auto"/>
                <w:kern w:val="2"/>
                <w:sz w:val="24"/>
              </w:rPr>
            </w:pPr>
            <w:r>
              <w:rPr>
                <w:rFonts w:hint="eastAsia" w:ascii="Times New Roman" w:hAnsi="Times New Roman" w:eastAsia="宋体"/>
                <w:bCs/>
                <w:color w:val="auto"/>
                <w:kern w:val="2"/>
                <w:sz w:val="24"/>
              </w:rPr>
              <w:t>3、陡坡段</w:t>
            </w:r>
            <w:bookmarkEnd w:id="13"/>
          </w:p>
          <w:p>
            <w:pPr>
              <w:pStyle w:val="7"/>
              <w:ind w:firstLine="480"/>
              <w:rPr>
                <w:color w:val="auto"/>
              </w:rPr>
            </w:pPr>
            <w:r>
              <w:rPr>
                <w:rFonts w:hint="eastAsia"/>
                <w:color w:val="auto"/>
              </w:rPr>
              <w:t>二级明渠末端接陡坡段，</w:t>
            </w:r>
            <w:r>
              <w:rPr>
                <w:color w:val="auto"/>
              </w:rPr>
              <w:t>水平长</w:t>
            </w:r>
            <w:r>
              <w:rPr>
                <w:rFonts w:hint="eastAsia"/>
                <w:color w:val="auto"/>
              </w:rPr>
              <w:t>80</w:t>
            </w:r>
            <w:r>
              <w:rPr>
                <w:color w:val="auto"/>
              </w:rPr>
              <w:t>m，落差共</w:t>
            </w:r>
            <w:r>
              <w:rPr>
                <w:rFonts w:hint="eastAsia"/>
                <w:color w:val="auto"/>
              </w:rPr>
              <w:t>26.67m，</w:t>
            </w:r>
            <w:r>
              <w:rPr>
                <w:color w:val="auto"/>
              </w:rPr>
              <w:t>坡比为</w:t>
            </w:r>
            <w:r>
              <w:rPr>
                <w:rFonts w:hint="eastAsia"/>
                <w:color w:val="auto"/>
              </w:rPr>
              <w:t>1:3</w:t>
            </w:r>
            <w:r>
              <w:rPr>
                <w:color w:val="auto"/>
              </w:rPr>
              <w:t>，</w:t>
            </w:r>
            <w:r>
              <w:rPr>
                <w:rFonts w:hint="eastAsia"/>
                <w:color w:val="auto"/>
              </w:rPr>
              <w:t>一级</w:t>
            </w:r>
            <w:r>
              <w:rPr>
                <w:color w:val="auto"/>
              </w:rPr>
              <w:t>陡坡进口高程</w:t>
            </w:r>
            <w:r>
              <w:rPr>
                <w:rFonts w:hint="eastAsia"/>
                <w:color w:val="auto"/>
              </w:rPr>
              <w:t>1700.2</w:t>
            </w:r>
            <w:r>
              <w:rPr>
                <w:color w:val="auto"/>
              </w:rPr>
              <w:t>m，末端高程</w:t>
            </w:r>
            <w:r>
              <w:rPr>
                <w:rFonts w:hint="eastAsia"/>
                <w:color w:val="auto"/>
              </w:rPr>
              <w:t>1673.55</w:t>
            </w:r>
            <w:r>
              <w:rPr>
                <w:color w:val="auto"/>
              </w:rPr>
              <w:t>m。为钢筋砼</w:t>
            </w:r>
            <w:r>
              <w:rPr>
                <w:rFonts w:hint="eastAsia"/>
                <w:color w:val="auto"/>
              </w:rPr>
              <w:t>整体式矩形</w:t>
            </w:r>
            <w:r>
              <w:rPr>
                <w:color w:val="auto"/>
              </w:rPr>
              <w:t>断面，</w:t>
            </w:r>
            <w:r>
              <w:rPr>
                <w:rFonts w:hint="eastAsia"/>
                <w:color w:val="auto"/>
              </w:rPr>
              <w:t>底宽4m。设计洪水采用③号断面100年一遇洪峰流量55.1m</w:t>
            </w:r>
            <w:r>
              <w:rPr>
                <w:rFonts w:hint="eastAsia"/>
                <w:color w:val="auto"/>
                <w:vertAlign w:val="superscript"/>
              </w:rPr>
              <w:t>3</w:t>
            </w:r>
            <w:r>
              <w:rPr>
                <w:rFonts w:hint="eastAsia"/>
                <w:color w:val="auto"/>
              </w:rPr>
              <w:t>/s。</w:t>
            </w:r>
            <w:r>
              <w:rPr>
                <w:color w:val="auto"/>
              </w:rPr>
              <w:t>陡坡正常水深为</w:t>
            </w:r>
            <w:r>
              <w:rPr>
                <w:rFonts w:hint="eastAsia"/>
                <w:color w:val="auto"/>
              </w:rPr>
              <w:t>0.6</w:t>
            </w:r>
            <w:r>
              <w:rPr>
                <w:color w:val="auto"/>
              </w:rPr>
              <w:t>m，临界水深为</w:t>
            </w:r>
            <w:r>
              <w:rPr>
                <w:rFonts w:hint="eastAsia"/>
                <w:color w:val="auto"/>
              </w:rPr>
              <w:t>2.69</w:t>
            </w:r>
            <w:r>
              <w:rPr>
                <w:color w:val="auto"/>
              </w:rPr>
              <w:t>m，正常水深小于临界水深，渠道为急流。陡坡水面线按能量方程、分段求和法计算，水面线始端水深为</w:t>
            </w:r>
            <w:r>
              <w:rPr>
                <w:rFonts w:hint="eastAsia"/>
                <w:color w:val="auto"/>
              </w:rPr>
              <w:t>二级</w:t>
            </w:r>
            <w:r>
              <w:rPr>
                <w:color w:val="auto"/>
              </w:rPr>
              <w:t>明渠正常水深</w:t>
            </w:r>
            <w:r>
              <w:rPr>
                <w:rFonts w:hint="eastAsia"/>
                <w:color w:val="auto"/>
              </w:rPr>
              <w:t>3.19</w:t>
            </w:r>
            <w:r>
              <w:rPr>
                <w:color w:val="auto"/>
              </w:rPr>
              <w:t>m。</w:t>
            </w:r>
          </w:p>
          <w:p>
            <w:pPr>
              <w:pStyle w:val="7"/>
              <w:ind w:firstLine="480"/>
              <w:rPr>
                <w:color w:val="auto"/>
              </w:rPr>
            </w:pPr>
            <w:r>
              <w:rPr>
                <w:color w:val="auto"/>
              </w:rPr>
              <w:t>陡坡水面线按能量方程公式计算：</w:t>
            </w:r>
          </w:p>
          <w:p>
            <w:pPr>
              <w:pStyle w:val="7"/>
              <w:ind w:firstLine="0" w:firstLineChars="0"/>
              <w:jc w:val="center"/>
              <w:rPr>
                <w:color w:val="auto"/>
              </w:rPr>
            </w:pPr>
            <w:r>
              <w:rPr>
                <w:color w:val="auto"/>
              </w:rPr>
              <w:t>h</w:t>
            </w:r>
            <w:r>
              <w:rPr>
                <w:color w:val="auto"/>
                <w:vertAlign w:val="subscript"/>
              </w:rPr>
              <w:t>1</w:t>
            </w:r>
            <w:r>
              <w:rPr>
                <w:color w:val="auto"/>
              </w:rPr>
              <w:t>+</w:t>
            </w:r>
            <w:r>
              <w:rPr>
                <w:color w:val="auto"/>
                <w:position w:val="-34"/>
              </w:rPr>
              <w:object>
                <v:shape id="_x0000_i1025" o:spt="75" type="#_x0000_t75" style="height:36pt;width:141.25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p>
          <w:p>
            <w:pPr>
              <w:pStyle w:val="7"/>
              <w:tabs>
                <w:tab w:val="left" w:pos="5610"/>
              </w:tabs>
              <w:ind w:firstLine="0" w:firstLineChars="0"/>
              <w:rPr>
                <w:color w:val="auto"/>
              </w:rPr>
            </w:pPr>
            <w:r>
              <w:rPr>
                <w:color w:val="auto"/>
              </w:rPr>
              <w:t>式中：h</w:t>
            </w:r>
            <w:r>
              <w:rPr>
                <w:color w:val="auto"/>
                <w:vertAlign w:val="subscript"/>
              </w:rPr>
              <w:t>1</w:t>
            </w:r>
            <w:r>
              <w:rPr>
                <w:color w:val="auto"/>
              </w:rPr>
              <w:t>、h</w:t>
            </w:r>
            <w:r>
              <w:rPr>
                <w:color w:val="auto"/>
                <w:vertAlign w:val="subscript"/>
              </w:rPr>
              <w:t>2</w:t>
            </w:r>
            <w:r>
              <w:rPr>
                <w:color w:val="auto"/>
              </w:rPr>
              <w:softHyphen/>
            </w:r>
            <w:r>
              <w:rPr>
                <w:color w:val="auto"/>
              </w:rPr>
              <w:t>——断面1、2的水深（m ）；</w:t>
            </w:r>
          </w:p>
          <w:p>
            <w:pPr>
              <w:pStyle w:val="7"/>
              <w:ind w:firstLine="600" w:firstLineChars="250"/>
              <w:rPr>
                <w:color w:val="auto"/>
              </w:rPr>
            </w:pPr>
            <w:r>
              <w:rPr>
                <w:color w:val="auto"/>
                <w:position w:val="-12"/>
              </w:rPr>
              <w:object>
                <v:shape id="_x0000_i1026" o:spt="75" type="#_x0000_t75" style="height:19pt;width:14.95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r>
              <w:rPr>
                <w:color w:val="auto"/>
              </w:rPr>
              <w:t>、</w:t>
            </w:r>
            <w:r>
              <w:rPr>
                <w:color w:val="auto"/>
                <w:position w:val="-12"/>
              </w:rPr>
              <w:object>
                <v:shape id="_x0000_i1027" o:spt="75" type="#_x0000_t75" style="height:19pt;width:17pt;" o:ole="t"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7" r:id="rId24">
                  <o:LockedField>false</o:LockedField>
                </o:OLEObject>
              </w:object>
            </w:r>
            <w:r>
              <w:rPr>
                <w:color w:val="auto"/>
              </w:rPr>
              <w:t>——动能修正系数；</w:t>
            </w:r>
          </w:p>
          <w:p>
            <w:pPr>
              <w:pStyle w:val="7"/>
              <w:ind w:firstLine="600" w:firstLineChars="250"/>
              <w:rPr>
                <w:color w:val="auto"/>
              </w:rPr>
            </w:pPr>
            <w:r>
              <w:rPr>
                <w:color w:val="auto"/>
              </w:rPr>
              <w:t>V</w:t>
            </w:r>
            <w:r>
              <w:rPr>
                <w:color w:val="auto"/>
                <w:vertAlign w:val="subscript"/>
              </w:rPr>
              <w:t>1</w:t>
            </w:r>
            <w:r>
              <w:rPr>
                <w:color w:val="auto"/>
              </w:rPr>
              <w:t>、V</w:t>
            </w:r>
            <w:r>
              <w:rPr>
                <w:color w:val="auto"/>
                <w:vertAlign w:val="subscript"/>
              </w:rPr>
              <w:t>2</w:t>
            </w:r>
            <w:r>
              <w:rPr>
                <w:color w:val="auto"/>
              </w:rPr>
              <w:t>——断面1、2的流速（m/s）；</w:t>
            </w:r>
          </w:p>
          <w:p>
            <w:pPr>
              <w:pStyle w:val="7"/>
              <w:ind w:firstLine="600" w:firstLineChars="250"/>
              <w:rPr>
                <w:color w:val="auto"/>
              </w:rPr>
            </w:pPr>
            <w:r>
              <w:rPr>
                <w:color w:val="auto"/>
                <w:position w:val="-6"/>
              </w:rPr>
              <w:object>
                <v:shape id="_x0000_i1028" o:spt="75" type="#_x0000_t75" style="height:18.35pt;width:9.5pt;" o:ole="t" filled="f" o:preferrelative="t" stroked="f" coordsize="21600,21600">
                  <v:path/>
                  <v:fill on="f" focussize="0,0"/>
                  <v:stroke on="f" joinstyle="miter"/>
                  <v:imagedata r:id="rId27" o:title=""/>
                  <o:lock v:ext="edit" aspectratio="t"/>
                  <w10:wrap type="none"/>
                  <w10:anchorlock/>
                </v:shape>
                <o:OLEObject Type="Embed" ProgID="Equation.3" ShapeID="_x0000_i1028" DrawAspect="Content" ObjectID="_1468075728" r:id="rId26">
                  <o:LockedField>false</o:LockedField>
                </o:OLEObject>
              </w:object>
            </w:r>
            <w:r>
              <w:rPr>
                <w:color w:val="auto"/>
              </w:rPr>
              <w:t>——断面1、2之间的平均谢才系数；</w:t>
            </w:r>
          </w:p>
          <w:p>
            <w:pPr>
              <w:pStyle w:val="7"/>
              <w:ind w:firstLine="600" w:firstLineChars="250"/>
              <w:rPr>
                <w:color w:val="auto"/>
              </w:rPr>
            </w:pPr>
            <w:r>
              <w:rPr>
                <w:color w:val="auto"/>
                <w:position w:val="-4"/>
              </w:rPr>
              <w:object>
                <v:shape id="_x0000_i1029" o:spt="75" type="#_x0000_t75" style="height:17pt;width:13.6pt;" o:ole="t" filled="f" o:preferrelative="t" stroked="f" coordsize="21600,21600">
                  <v:path/>
                  <v:fill on="f" focussize="0,0"/>
                  <v:stroke on="f" joinstyle="miter"/>
                  <v:imagedata r:id="rId29" o:title=""/>
                  <o:lock v:ext="edit" aspectratio="t"/>
                  <w10:wrap type="none"/>
                  <w10:anchorlock/>
                </v:shape>
                <o:OLEObject Type="Embed" ProgID="Equation.3" ShapeID="_x0000_i1029" DrawAspect="Content" ObjectID="_1468075729" r:id="rId28">
                  <o:LockedField>false</o:LockedField>
                </o:OLEObject>
              </w:object>
            </w:r>
            <w:r>
              <w:rPr>
                <w:color w:val="auto"/>
              </w:rPr>
              <w:t>——断面1、2之间的平均水力半径（m ）；</w:t>
            </w:r>
          </w:p>
          <w:p>
            <w:pPr>
              <w:pStyle w:val="7"/>
              <w:ind w:firstLine="600" w:firstLineChars="250"/>
              <w:rPr>
                <w:color w:val="auto"/>
              </w:rPr>
            </w:pPr>
            <w:r>
              <w:rPr>
                <w:color w:val="auto"/>
              </w:rPr>
              <w:t>i——断面1、2之间的比降；</w:t>
            </w:r>
          </w:p>
          <w:p>
            <w:pPr>
              <w:pStyle w:val="7"/>
              <w:ind w:firstLine="600" w:firstLineChars="250"/>
              <w:rPr>
                <w:color w:val="auto"/>
              </w:rPr>
            </w:pPr>
            <w:r>
              <w:rPr>
                <w:color w:val="auto"/>
              </w:rPr>
              <w:t>L——断面1、2之间的距离（m ）。</w:t>
            </w:r>
          </w:p>
          <w:p>
            <w:pPr>
              <w:pStyle w:val="7"/>
              <w:ind w:firstLine="480"/>
              <w:rPr>
                <w:color w:val="auto"/>
              </w:rPr>
            </w:pPr>
            <w:r>
              <w:rPr>
                <w:color w:val="auto"/>
              </w:rPr>
              <w:t>计算结果详见表2</w:t>
            </w:r>
            <w:r>
              <w:rPr>
                <w:rFonts w:hint="eastAsia"/>
                <w:color w:val="auto"/>
              </w:rPr>
              <w:t>-</w:t>
            </w:r>
            <w:r>
              <w:rPr>
                <w:color w:val="auto"/>
              </w:rPr>
              <w:t>7。</w:t>
            </w:r>
          </w:p>
          <w:p>
            <w:pPr>
              <w:adjustRightInd w:val="0"/>
              <w:snapToGrid w:val="0"/>
              <w:ind w:firstLine="480" w:firstLineChars="200"/>
              <w:rPr>
                <w:b/>
                <w:bCs/>
                <w:color w:val="auto"/>
                <w:kern w:val="0"/>
                <w:sz w:val="24"/>
              </w:rPr>
            </w:pPr>
            <w:r>
              <w:rPr>
                <w:rFonts w:hint="eastAsia"/>
                <w:color w:val="auto"/>
                <w:kern w:val="0"/>
                <w:sz w:val="24"/>
              </w:rPr>
              <w:t>表</w:t>
            </w:r>
            <w:r>
              <w:rPr>
                <w:color w:val="auto"/>
                <w:kern w:val="0"/>
                <w:sz w:val="24"/>
              </w:rPr>
              <w:t>2</w:t>
            </w:r>
            <w:r>
              <w:rPr>
                <w:rFonts w:hint="eastAsia"/>
                <w:color w:val="auto"/>
                <w:kern w:val="0"/>
                <w:sz w:val="24"/>
              </w:rPr>
              <w:t>-</w:t>
            </w:r>
            <w:r>
              <w:rPr>
                <w:color w:val="auto"/>
                <w:kern w:val="0"/>
                <w:sz w:val="24"/>
              </w:rPr>
              <w:t>7</w:t>
            </w:r>
            <w:r>
              <w:rPr>
                <w:rFonts w:hint="eastAsia"/>
                <w:color w:val="auto"/>
                <w:kern w:val="0"/>
                <w:sz w:val="24"/>
              </w:rPr>
              <w:t xml:space="preserve">            </w:t>
            </w:r>
            <w:r>
              <w:rPr>
                <w:rFonts w:hint="eastAsia"/>
                <w:b/>
                <w:bCs/>
                <w:color w:val="auto"/>
                <w:kern w:val="0"/>
                <w:sz w:val="24"/>
              </w:rPr>
              <w:t xml:space="preserve"> 陡坡水面线计算成果表</w:t>
            </w:r>
          </w:p>
          <w:tbl>
            <w:tblPr>
              <w:tblStyle w:val="19"/>
              <w:tblW w:w="4997"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730"/>
              <w:gridCol w:w="727"/>
              <w:gridCol w:w="917"/>
              <w:gridCol w:w="1008"/>
              <w:gridCol w:w="915"/>
              <w:gridCol w:w="1008"/>
              <w:gridCol w:w="1120"/>
              <w:gridCol w:w="1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blHeader/>
              </w:trPr>
              <w:tc>
                <w:tcPr>
                  <w:tcW w:w="547" w:type="pct"/>
                  <w:tcBorders>
                    <w:tl2br w:val="nil"/>
                    <w:tr2bl w:val="nil"/>
                  </w:tcBorders>
                  <w:noWrap/>
                  <w:vAlign w:val="center"/>
                </w:tcPr>
                <w:p>
                  <w:pPr>
                    <w:widowControl/>
                    <w:jc w:val="center"/>
                    <w:textAlignment w:val="bottom"/>
                    <w:rPr>
                      <w:rFonts w:ascii="宋体" w:hAnsi="宋体" w:cs="宋体"/>
                      <w:b/>
                      <w:bCs/>
                      <w:color w:val="auto"/>
                      <w:sz w:val="18"/>
                      <w:szCs w:val="18"/>
                    </w:rPr>
                  </w:pPr>
                  <w:r>
                    <w:rPr>
                      <w:rFonts w:hint="eastAsia" w:ascii="宋体" w:hAnsi="宋体" w:cs="宋体"/>
                      <w:b/>
                      <w:bCs/>
                      <w:color w:val="auto"/>
                      <w:kern w:val="0"/>
                      <w:sz w:val="18"/>
                      <w:szCs w:val="18"/>
                      <w:lang w:bidi="ar"/>
                    </w:rPr>
                    <w:t>桩号</w:t>
                  </w:r>
                  <w:r>
                    <w:rPr>
                      <w:rStyle w:val="42"/>
                      <w:b/>
                      <w:bCs/>
                      <w:color w:val="auto"/>
                      <w:sz w:val="18"/>
                      <w:szCs w:val="18"/>
                      <w:lang w:bidi="ar"/>
                    </w:rPr>
                    <w:t>(m)</w:t>
                  </w:r>
                </w:p>
              </w:tc>
              <w:tc>
                <w:tcPr>
                  <w:tcW w:w="437" w:type="pct"/>
                  <w:tcBorders>
                    <w:tl2br w:val="nil"/>
                    <w:tr2bl w:val="nil"/>
                  </w:tcBorders>
                  <w:noWrap/>
                  <w:vAlign w:val="center"/>
                </w:tcPr>
                <w:p>
                  <w:pPr>
                    <w:widowControl/>
                    <w:jc w:val="center"/>
                    <w:textAlignment w:val="bottom"/>
                    <w:rPr>
                      <w:rFonts w:ascii="宋体" w:hAnsi="宋体" w:cs="宋体"/>
                      <w:b/>
                      <w:bCs/>
                      <w:color w:val="auto"/>
                      <w:sz w:val="18"/>
                      <w:szCs w:val="18"/>
                    </w:rPr>
                  </w:pPr>
                  <w:r>
                    <w:rPr>
                      <w:rFonts w:hint="eastAsia" w:ascii="宋体" w:hAnsi="宋体" w:cs="宋体"/>
                      <w:b/>
                      <w:bCs/>
                      <w:color w:val="auto"/>
                      <w:kern w:val="0"/>
                      <w:sz w:val="18"/>
                      <w:szCs w:val="18"/>
                      <w:lang w:bidi="ar"/>
                    </w:rPr>
                    <w:t>底宽</w:t>
                  </w:r>
                  <w:r>
                    <w:rPr>
                      <w:rStyle w:val="42"/>
                      <w:b/>
                      <w:bCs/>
                      <w:color w:val="auto"/>
                      <w:sz w:val="18"/>
                      <w:szCs w:val="18"/>
                      <w:lang w:bidi="ar"/>
                    </w:rPr>
                    <w:t>(m)</w:t>
                  </w:r>
                </w:p>
              </w:tc>
              <w:tc>
                <w:tcPr>
                  <w:tcW w:w="435" w:type="pct"/>
                  <w:tcBorders>
                    <w:tl2br w:val="nil"/>
                    <w:tr2bl w:val="nil"/>
                  </w:tcBorders>
                  <w:noWrap/>
                  <w:vAlign w:val="center"/>
                </w:tcPr>
                <w:p>
                  <w:pPr>
                    <w:widowControl/>
                    <w:jc w:val="center"/>
                    <w:textAlignment w:val="bottom"/>
                    <w:rPr>
                      <w:rFonts w:ascii="宋体" w:hAnsi="宋体" w:cs="宋体"/>
                      <w:b/>
                      <w:bCs/>
                      <w:color w:val="auto"/>
                      <w:sz w:val="18"/>
                      <w:szCs w:val="18"/>
                    </w:rPr>
                  </w:pPr>
                  <w:r>
                    <w:rPr>
                      <w:rFonts w:hint="eastAsia" w:ascii="宋体" w:hAnsi="宋体" w:cs="宋体"/>
                      <w:b/>
                      <w:bCs/>
                      <w:color w:val="auto"/>
                      <w:kern w:val="0"/>
                      <w:sz w:val="18"/>
                      <w:szCs w:val="18"/>
                      <w:lang w:bidi="ar"/>
                    </w:rPr>
                    <w:t>边坡</w:t>
                  </w:r>
                </w:p>
              </w:tc>
              <w:tc>
                <w:tcPr>
                  <w:tcW w:w="549" w:type="pct"/>
                  <w:tcBorders>
                    <w:tl2br w:val="nil"/>
                    <w:tr2bl w:val="nil"/>
                  </w:tcBorders>
                  <w:noWrap/>
                  <w:vAlign w:val="center"/>
                </w:tcPr>
                <w:p>
                  <w:pPr>
                    <w:widowControl/>
                    <w:jc w:val="center"/>
                    <w:textAlignment w:val="bottom"/>
                    <w:rPr>
                      <w:rFonts w:ascii="宋体" w:hAnsi="宋体" w:cs="宋体"/>
                      <w:b/>
                      <w:bCs/>
                      <w:color w:val="auto"/>
                      <w:sz w:val="18"/>
                      <w:szCs w:val="18"/>
                    </w:rPr>
                  </w:pPr>
                  <w:r>
                    <w:rPr>
                      <w:rFonts w:hint="eastAsia" w:ascii="宋体" w:hAnsi="宋体" w:cs="宋体"/>
                      <w:b/>
                      <w:bCs/>
                      <w:color w:val="auto"/>
                      <w:kern w:val="0"/>
                      <w:sz w:val="18"/>
                      <w:szCs w:val="18"/>
                      <w:lang w:bidi="ar"/>
                    </w:rPr>
                    <w:t>水深</w:t>
                  </w:r>
                  <w:r>
                    <w:rPr>
                      <w:rStyle w:val="42"/>
                      <w:b/>
                      <w:bCs/>
                      <w:color w:val="auto"/>
                      <w:sz w:val="18"/>
                      <w:szCs w:val="18"/>
                      <w:lang w:bidi="ar"/>
                    </w:rPr>
                    <w:t>(m)</w:t>
                  </w:r>
                </w:p>
              </w:tc>
              <w:tc>
                <w:tcPr>
                  <w:tcW w:w="603" w:type="pct"/>
                  <w:tcBorders>
                    <w:tl2br w:val="nil"/>
                    <w:tr2bl w:val="nil"/>
                  </w:tcBorders>
                  <w:noWrap/>
                  <w:vAlign w:val="center"/>
                </w:tcPr>
                <w:p>
                  <w:pPr>
                    <w:widowControl/>
                    <w:jc w:val="center"/>
                    <w:textAlignment w:val="bottom"/>
                    <w:rPr>
                      <w:rFonts w:ascii="宋体" w:hAnsi="宋体" w:cs="宋体"/>
                      <w:b/>
                      <w:bCs/>
                      <w:color w:val="auto"/>
                      <w:sz w:val="18"/>
                      <w:szCs w:val="18"/>
                    </w:rPr>
                  </w:pPr>
                  <w:r>
                    <w:rPr>
                      <w:rFonts w:hint="eastAsia" w:ascii="宋体" w:hAnsi="宋体" w:cs="宋体"/>
                      <w:b/>
                      <w:bCs/>
                      <w:color w:val="auto"/>
                      <w:kern w:val="0"/>
                      <w:sz w:val="18"/>
                      <w:szCs w:val="18"/>
                      <w:lang w:bidi="ar"/>
                    </w:rPr>
                    <w:t>糙率</w:t>
                  </w:r>
                </w:p>
              </w:tc>
              <w:tc>
                <w:tcPr>
                  <w:tcW w:w="547" w:type="pct"/>
                  <w:tcBorders>
                    <w:tl2br w:val="nil"/>
                    <w:tr2bl w:val="nil"/>
                  </w:tcBorders>
                  <w:noWrap/>
                  <w:vAlign w:val="center"/>
                </w:tcPr>
                <w:p>
                  <w:pPr>
                    <w:widowControl/>
                    <w:jc w:val="center"/>
                    <w:textAlignment w:val="bottom"/>
                    <w:rPr>
                      <w:rFonts w:ascii="宋体" w:hAnsi="宋体" w:cs="宋体"/>
                      <w:b/>
                      <w:bCs/>
                      <w:color w:val="auto"/>
                      <w:sz w:val="18"/>
                      <w:szCs w:val="18"/>
                    </w:rPr>
                  </w:pPr>
                  <w:r>
                    <w:rPr>
                      <w:rFonts w:hint="eastAsia" w:ascii="宋体" w:hAnsi="宋体" w:cs="宋体"/>
                      <w:b/>
                      <w:bCs/>
                      <w:color w:val="auto"/>
                      <w:kern w:val="0"/>
                      <w:sz w:val="18"/>
                      <w:szCs w:val="18"/>
                      <w:lang w:bidi="ar"/>
                    </w:rPr>
                    <w:t>流量</w:t>
                  </w:r>
                  <w:r>
                    <w:rPr>
                      <w:rStyle w:val="42"/>
                      <w:b/>
                      <w:bCs/>
                      <w:color w:val="auto"/>
                      <w:sz w:val="18"/>
                      <w:szCs w:val="18"/>
                      <w:lang w:bidi="ar"/>
                    </w:rPr>
                    <w:t>(m</w:t>
                  </w:r>
                  <w:r>
                    <w:rPr>
                      <w:rStyle w:val="43"/>
                      <w:rFonts w:hint="default"/>
                      <w:b/>
                      <w:bCs/>
                      <w:color w:val="auto"/>
                      <w:sz w:val="18"/>
                      <w:szCs w:val="18"/>
                      <w:vertAlign w:val="superscript"/>
                      <w:lang w:bidi="ar"/>
                    </w:rPr>
                    <w:t>3</w:t>
                  </w:r>
                  <w:r>
                    <w:rPr>
                      <w:rStyle w:val="42"/>
                      <w:b/>
                      <w:bCs/>
                      <w:color w:val="auto"/>
                      <w:sz w:val="18"/>
                      <w:szCs w:val="18"/>
                      <w:lang w:bidi="ar"/>
                    </w:rPr>
                    <w:t>/s)</w:t>
                  </w:r>
                </w:p>
              </w:tc>
              <w:tc>
                <w:tcPr>
                  <w:tcW w:w="603" w:type="pct"/>
                  <w:vMerge w:val="restart"/>
                  <w:tcBorders>
                    <w:tl2br w:val="nil"/>
                    <w:tr2bl w:val="nil"/>
                  </w:tcBorders>
                  <w:noWrap/>
                  <w:vAlign w:val="center"/>
                </w:tcPr>
                <w:p>
                  <w:pPr>
                    <w:widowControl/>
                    <w:jc w:val="center"/>
                    <w:textAlignment w:val="center"/>
                    <w:rPr>
                      <w:rFonts w:ascii="宋体" w:hAnsi="宋体" w:cs="宋体"/>
                      <w:b/>
                      <w:bCs/>
                      <w:color w:val="auto"/>
                      <w:sz w:val="18"/>
                      <w:szCs w:val="18"/>
                    </w:rPr>
                  </w:pPr>
                  <w:r>
                    <w:rPr>
                      <w:rFonts w:hint="eastAsia" w:ascii="宋体" w:hAnsi="宋体" w:cs="宋体"/>
                      <w:b/>
                      <w:bCs/>
                      <w:color w:val="auto"/>
                      <w:kern w:val="0"/>
                      <w:sz w:val="18"/>
                      <w:szCs w:val="18"/>
                      <w:lang w:bidi="ar"/>
                    </w:rPr>
                    <w:t>比降</w:t>
                  </w:r>
                </w:p>
              </w:tc>
              <w:tc>
                <w:tcPr>
                  <w:tcW w:w="670" w:type="pct"/>
                  <w:tcBorders>
                    <w:tl2br w:val="nil"/>
                    <w:tr2bl w:val="nil"/>
                  </w:tcBorders>
                  <w:noWrap/>
                  <w:vAlign w:val="center"/>
                </w:tcPr>
                <w:p>
                  <w:pPr>
                    <w:widowControl/>
                    <w:jc w:val="center"/>
                    <w:textAlignment w:val="bottom"/>
                    <w:rPr>
                      <w:rFonts w:ascii="宋体" w:hAnsi="宋体" w:cs="宋体"/>
                      <w:b/>
                      <w:bCs/>
                      <w:color w:val="auto"/>
                      <w:sz w:val="18"/>
                      <w:szCs w:val="18"/>
                    </w:rPr>
                  </w:pPr>
                  <w:r>
                    <w:rPr>
                      <w:rFonts w:hint="eastAsia" w:ascii="宋体" w:hAnsi="宋体" w:cs="宋体"/>
                      <w:b/>
                      <w:bCs/>
                      <w:color w:val="auto"/>
                      <w:kern w:val="0"/>
                      <w:sz w:val="18"/>
                      <w:szCs w:val="18"/>
                      <w:lang w:bidi="ar"/>
                    </w:rPr>
                    <w:t>过水面积</w:t>
                  </w:r>
                  <w:r>
                    <w:rPr>
                      <w:rStyle w:val="42"/>
                      <w:b/>
                      <w:bCs/>
                      <w:color w:val="auto"/>
                      <w:sz w:val="18"/>
                      <w:szCs w:val="18"/>
                      <w:lang w:bidi="ar"/>
                    </w:rPr>
                    <w:t>(m</w:t>
                  </w:r>
                  <w:r>
                    <w:rPr>
                      <w:rStyle w:val="43"/>
                      <w:rFonts w:hint="default"/>
                      <w:b/>
                      <w:bCs/>
                      <w:color w:val="auto"/>
                      <w:sz w:val="18"/>
                      <w:szCs w:val="18"/>
                      <w:vertAlign w:val="superscript"/>
                      <w:lang w:bidi="ar"/>
                    </w:rPr>
                    <w:t>2</w:t>
                  </w:r>
                  <w:r>
                    <w:rPr>
                      <w:rStyle w:val="42"/>
                      <w:b/>
                      <w:bCs/>
                      <w:color w:val="auto"/>
                      <w:sz w:val="18"/>
                      <w:szCs w:val="18"/>
                      <w:lang w:bidi="ar"/>
                    </w:rPr>
                    <w:t>)</w:t>
                  </w:r>
                </w:p>
              </w:tc>
              <w:tc>
                <w:tcPr>
                  <w:tcW w:w="603" w:type="pct"/>
                  <w:tcBorders>
                    <w:tl2br w:val="nil"/>
                    <w:tr2bl w:val="nil"/>
                  </w:tcBorders>
                  <w:noWrap/>
                  <w:vAlign w:val="center"/>
                </w:tcPr>
                <w:p>
                  <w:pPr>
                    <w:widowControl/>
                    <w:jc w:val="center"/>
                    <w:textAlignment w:val="bottom"/>
                    <w:rPr>
                      <w:rFonts w:ascii="宋体" w:hAnsi="宋体" w:cs="宋体"/>
                      <w:b/>
                      <w:bCs/>
                      <w:color w:val="auto"/>
                      <w:sz w:val="18"/>
                      <w:szCs w:val="18"/>
                    </w:rPr>
                  </w:pPr>
                  <w:r>
                    <w:rPr>
                      <w:rFonts w:hint="eastAsia" w:ascii="宋体" w:hAnsi="宋体" w:cs="宋体"/>
                      <w:b/>
                      <w:bCs/>
                      <w:color w:val="auto"/>
                      <w:kern w:val="0"/>
                      <w:sz w:val="18"/>
                      <w:szCs w:val="18"/>
                      <w:lang w:bidi="ar"/>
                    </w:rPr>
                    <w:t>流速</w:t>
                  </w:r>
                  <w:r>
                    <w:rPr>
                      <w:rStyle w:val="42"/>
                      <w:b/>
                      <w:bCs/>
                      <w:color w:val="auto"/>
                      <w:sz w:val="18"/>
                      <w:szCs w:val="18"/>
                      <w:lang w:bidi="ar"/>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3.19</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vMerge w:val="continue"/>
                  <w:tcBorders>
                    <w:tl2br w:val="nil"/>
                    <w:tr2bl w:val="nil"/>
                  </w:tcBorders>
                  <w:noWrap/>
                  <w:vAlign w:val="center"/>
                </w:tcPr>
                <w:p>
                  <w:pPr>
                    <w:widowControl/>
                    <w:jc w:val="center"/>
                    <w:rPr>
                      <w:rFonts w:ascii="宋体" w:hAnsi="宋体" w:cs="宋体"/>
                      <w:color w:val="auto"/>
                      <w:sz w:val="18"/>
                      <w:szCs w:val="18"/>
                    </w:rPr>
                  </w:pP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12.76</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1.56</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6.23</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8.85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10.0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1.31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5.23</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15.0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1.16</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4.65</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20.0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1.06</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4.25</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25.0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0.99</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3.96</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30.0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0.93</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3.74</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35.0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0.89</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3.56</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15.49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40.0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0.85</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3.41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45.0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0.82</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3.29</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16.76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50.0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0.80</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3.18</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17.31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0.77</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3.10</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17.80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60.0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0.75</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3.02</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65.0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0.74</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2.95</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18.65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70.0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0.72</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2.90</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19.02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75.0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0.71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2.85</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80.0</w:t>
                  </w:r>
                </w:p>
              </w:tc>
              <w:tc>
                <w:tcPr>
                  <w:tcW w:w="43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4</w:t>
                  </w:r>
                </w:p>
              </w:tc>
              <w:tc>
                <w:tcPr>
                  <w:tcW w:w="435"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w:t>
                  </w:r>
                </w:p>
              </w:tc>
              <w:tc>
                <w:tcPr>
                  <w:tcW w:w="549"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0.70</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0.015</w:t>
                  </w:r>
                </w:p>
              </w:tc>
              <w:tc>
                <w:tcPr>
                  <w:tcW w:w="547"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55.1</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0.333</w:t>
                  </w:r>
                </w:p>
              </w:tc>
              <w:tc>
                <w:tcPr>
                  <w:tcW w:w="670"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2.80</w:t>
                  </w:r>
                </w:p>
              </w:tc>
              <w:tc>
                <w:tcPr>
                  <w:tcW w:w="603" w:type="pct"/>
                  <w:tcBorders>
                    <w:tl2br w:val="nil"/>
                    <w:tr2bl w:val="nil"/>
                  </w:tcBorders>
                  <w:noWrap/>
                  <w:vAlign w:val="center"/>
                </w:tcPr>
                <w:p>
                  <w:pPr>
                    <w:widowControl/>
                    <w:jc w:val="center"/>
                    <w:textAlignment w:val="bottom"/>
                    <w:rPr>
                      <w:rFonts w:ascii="宋体" w:hAnsi="宋体" w:cs="宋体"/>
                      <w:color w:val="auto"/>
                      <w:sz w:val="18"/>
                      <w:szCs w:val="18"/>
                    </w:rPr>
                  </w:pPr>
                  <w:r>
                    <w:rPr>
                      <w:rFonts w:hint="eastAsia" w:ascii="宋体" w:hAnsi="宋体" w:cs="宋体"/>
                      <w:color w:val="auto"/>
                      <w:kern w:val="0"/>
                      <w:sz w:val="18"/>
                      <w:szCs w:val="18"/>
                      <w:lang w:bidi="ar"/>
                    </w:rPr>
                    <w:t>19.67</w:t>
                  </w:r>
                </w:p>
              </w:tc>
            </w:tr>
          </w:tbl>
          <w:p>
            <w:pPr>
              <w:pStyle w:val="8"/>
              <w:rPr>
                <w:color w:val="auto"/>
              </w:rPr>
            </w:pPr>
          </w:p>
          <w:p>
            <w:pPr>
              <w:pStyle w:val="7"/>
              <w:ind w:firstLine="480"/>
              <w:rPr>
                <w:color w:val="auto"/>
              </w:rPr>
            </w:pPr>
            <w:r>
              <w:rPr>
                <w:rFonts w:hint="eastAsia"/>
                <w:color w:val="auto"/>
              </w:rPr>
              <w:t>根据计算成果</w:t>
            </w:r>
            <w:r>
              <w:rPr>
                <w:color w:val="auto"/>
              </w:rPr>
              <w:t>，陡坡水深</w:t>
            </w:r>
            <w:r>
              <w:rPr>
                <w:rFonts w:hint="eastAsia"/>
                <w:color w:val="auto"/>
              </w:rPr>
              <w:t>0.7</w:t>
            </w:r>
            <w:r>
              <w:rPr>
                <w:color w:val="auto"/>
              </w:rPr>
              <w:t>m～</w:t>
            </w:r>
            <w:r>
              <w:rPr>
                <w:rFonts w:hint="eastAsia"/>
                <w:color w:val="auto"/>
              </w:rPr>
              <w:t>3.19</w:t>
            </w:r>
            <w:r>
              <w:rPr>
                <w:color w:val="auto"/>
              </w:rPr>
              <w:t>m，流速</w:t>
            </w:r>
            <w:r>
              <w:rPr>
                <w:rFonts w:hint="eastAsia"/>
                <w:color w:val="auto"/>
              </w:rPr>
              <w:t>4.32</w:t>
            </w:r>
            <w:r>
              <w:rPr>
                <w:color w:val="auto"/>
              </w:rPr>
              <w:t>～</w:t>
            </w:r>
            <w:r>
              <w:rPr>
                <w:rFonts w:hint="eastAsia"/>
                <w:color w:val="auto"/>
              </w:rPr>
              <w:t>19.67</w:t>
            </w:r>
            <w:r>
              <w:rPr>
                <w:color w:val="auto"/>
              </w:rPr>
              <w:t>m/s，计入安全超高，则二级陡坡前</w:t>
            </w:r>
            <w:r>
              <w:rPr>
                <w:rFonts w:hint="eastAsia"/>
                <w:color w:val="auto"/>
              </w:rPr>
              <w:t>10</w:t>
            </w:r>
            <w:r>
              <w:rPr>
                <w:color w:val="auto"/>
              </w:rPr>
              <w:t>m砌护高</w:t>
            </w:r>
            <w:r>
              <w:rPr>
                <w:rFonts w:hint="eastAsia"/>
                <w:color w:val="auto"/>
              </w:rPr>
              <w:t>由3.5m渐变</w:t>
            </w:r>
            <w:r>
              <w:rPr>
                <w:color w:val="auto"/>
              </w:rPr>
              <w:t>为</w:t>
            </w:r>
            <w:r>
              <w:rPr>
                <w:rFonts w:hint="eastAsia"/>
                <w:color w:val="auto"/>
              </w:rPr>
              <w:t>2</w:t>
            </w:r>
            <w:r>
              <w:rPr>
                <w:color w:val="auto"/>
              </w:rPr>
              <w:t>.0m</w:t>
            </w:r>
            <w:r>
              <w:rPr>
                <w:rFonts w:hint="eastAsia"/>
                <w:color w:val="auto"/>
              </w:rPr>
              <w:t>，</w:t>
            </w:r>
            <w:r>
              <w:rPr>
                <w:color w:val="auto"/>
              </w:rPr>
              <w:t>后</w:t>
            </w:r>
            <w:r>
              <w:rPr>
                <w:rFonts w:hint="eastAsia"/>
                <w:color w:val="auto"/>
              </w:rPr>
              <w:t>10.18</w:t>
            </w:r>
            <w:r>
              <w:rPr>
                <w:color w:val="auto"/>
              </w:rPr>
              <w:t>m砌护高由</w:t>
            </w:r>
            <w:r>
              <w:rPr>
                <w:rFonts w:hint="eastAsia"/>
                <w:color w:val="auto"/>
              </w:rPr>
              <w:t>2.0</w:t>
            </w:r>
            <w:r>
              <w:rPr>
                <w:color w:val="auto"/>
              </w:rPr>
              <w:t>m增为</w:t>
            </w:r>
            <w:r>
              <w:rPr>
                <w:rFonts w:hint="eastAsia"/>
                <w:color w:val="auto"/>
              </w:rPr>
              <w:t>5.5</w:t>
            </w:r>
            <w:r>
              <w:rPr>
                <w:color w:val="auto"/>
              </w:rPr>
              <w:t>m接消力池。</w:t>
            </w:r>
            <w:r>
              <w:rPr>
                <w:rFonts w:hint="eastAsia"/>
                <w:color w:val="auto"/>
              </w:rPr>
              <w:t>陡坡</w:t>
            </w:r>
            <w:r>
              <w:rPr>
                <w:color w:val="auto"/>
              </w:rPr>
              <w:t>底板厚0.</w:t>
            </w:r>
            <w:r>
              <w:rPr>
                <w:rFonts w:hint="eastAsia"/>
                <w:color w:val="auto"/>
              </w:rPr>
              <w:t>5</w:t>
            </w:r>
            <w:r>
              <w:rPr>
                <w:color w:val="auto"/>
              </w:rPr>
              <w:t>m</w:t>
            </w:r>
            <w:r>
              <w:rPr>
                <w:rFonts w:hint="eastAsia"/>
                <w:color w:val="auto"/>
              </w:rPr>
              <w:t>，</w:t>
            </w:r>
            <w:r>
              <w:rPr>
                <w:color w:val="auto"/>
              </w:rPr>
              <w:t>顶宽0.</w:t>
            </w:r>
            <w:r>
              <w:rPr>
                <w:rFonts w:hint="eastAsia"/>
                <w:color w:val="auto"/>
              </w:rPr>
              <w:t>3</w:t>
            </w:r>
            <w:r>
              <w:rPr>
                <w:color w:val="auto"/>
              </w:rPr>
              <w:t>m</w:t>
            </w:r>
            <w:r>
              <w:rPr>
                <w:rFonts w:hint="eastAsia"/>
                <w:color w:val="auto"/>
              </w:rPr>
              <w:t>，</w:t>
            </w:r>
            <w:r>
              <w:rPr>
                <w:color w:val="auto"/>
              </w:rPr>
              <w:t>内侧垂直，</w:t>
            </w:r>
            <w:r>
              <w:rPr>
                <w:rFonts w:hint="eastAsia"/>
                <w:color w:val="auto"/>
              </w:rPr>
              <w:t>背坡倾斜坡度</w:t>
            </w:r>
            <w:r>
              <w:rPr>
                <w:color w:val="auto"/>
              </w:rPr>
              <w:t>1:0.</w:t>
            </w:r>
            <w:r>
              <w:rPr>
                <w:rFonts w:hint="eastAsia"/>
                <w:color w:val="auto"/>
              </w:rPr>
              <w:t>05。</w:t>
            </w:r>
            <w:r>
              <w:rPr>
                <w:color w:val="auto"/>
              </w:rPr>
              <w:t>陡坡每10m设伸缩缝1道，</w:t>
            </w:r>
            <w:r>
              <w:rPr>
                <w:rFonts w:hint="eastAsia"/>
                <w:color w:val="auto"/>
              </w:rPr>
              <w:t>伸缩缝</w:t>
            </w:r>
            <w:r>
              <w:rPr>
                <w:color w:val="auto"/>
              </w:rPr>
              <w:t>宽30mm，</w:t>
            </w:r>
            <w:r>
              <w:rPr>
                <w:rFonts w:hint="eastAsia"/>
                <w:color w:val="auto"/>
              </w:rPr>
              <w:t>采用KN双组份聚硫密封料</w:t>
            </w:r>
            <w:r>
              <w:rPr>
                <w:color w:val="auto"/>
              </w:rPr>
              <w:t>填塞，</w:t>
            </w:r>
            <w:r>
              <w:rPr>
                <w:rFonts w:hint="eastAsia"/>
                <w:color w:val="auto"/>
              </w:rPr>
              <w:t>缝内设651型橡胶止水带，</w:t>
            </w:r>
            <w:r>
              <w:rPr>
                <w:color w:val="auto"/>
              </w:rPr>
              <w:t>止水带布置于混凝土中间位置。</w:t>
            </w:r>
            <w:r>
              <w:rPr>
                <w:rFonts w:hint="eastAsia"/>
                <w:color w:val="auto"/>
              </w:rPr>
              <w:t>底板</w:t>
            </w:r>
            <w:r>
              <w:rPr>
                <w:color w:val="auto"/>
              </w:rPr>
              <w:t>结构材料</w:t>
            </w:r>
            <w:r>
              <w:rPr>
                <w:rFonts w:hint="eastAsia"/>
                <w:color w:val="auto"/>
              </w:rPr>
              <w:t>为</w:t>
            </w:r>
            <w:r>
              <w:rPr>
                <w:color w:val="auto"/>
              </w:rPr>
              <w:t>C</w:t>
            </w:r>
            <w:r>
              <w:rPr>
                <w:rFonts w:hint="eastAsia"/>
                <w:color w:val="auto"/>
              </w:rPr>
              <w:t>30</w:t>
            </w:r>
            <w:r>
              <w:rPr>
                <w:color w:val="auto"/>
              </w:rPr>
              <w:t>、F150、W</w:t>
            </w:r>
            <w:r>
              <w:rPr>
                <w:rFonts w:hint="eastAsia"/>
                <w:color w:val="auto"/>
              </w:rPr>
              <w:t>6混凝土，混凝土采用抗冲耐磨混凝土。</w:t>
            </w:r>
            <w:r>
              <w:rPr>
                <w:color w:val="auto"/>
              </w:rPr>
              <w:t>底板下设0.1m厚的C</w:t>
            </w:r>
            <w:r>
              <w:rPr>
                <w:rFonts w:hint="eastAsia"/>
                <w:color w:val="auto"/>
              </w:rPr>
              <w:t>20</w:t>
            </w:r>
            <w:r>
              <w:rPr>
                <w:color w:val="auto"/>
              </w:rPr>
              <w:t>素砼垫层，基础采用1.0米厚2：8水泥土换填方式处理。</w:t>
            </w: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rPr>
                <w:color w:val="auto"/>
              </w:rPr>
            </w:pPr>
          </w:p>
          <w:p>
            <w:pPr>
              <w:rPr>
                <w:color w:val="auto"/>
              </w:rPr>
            </w:pPr>
          </w:p>
          <w:p>
            <w:pPr>
              <w:pStyle w:val="6"/>
              <w:adjustRightInd w:val="0"/>
              <w:snapToGrid w:val="0"/>
              <w:spacing w:before="0" w:after="0" w:line="240" w:lineRule="auto"/>
              <w:ind w:firstLine="0" w:firstLineChars="0"/>
              <w:jc w:val="center"/>
              <w:rPr>
                <w:rFonts w:ascii="Times New Roman" w:hAnsi="Times New Roman" w:eastAsia="宋体"/>
                <w:bCs/>
                <w:color w:val="auto"/>
                <w:sz w:val="24"/>
              </w:rPr>
            </w:pPr>
            <w:r>
              <w:rPr>
                <w:color w:val="auto"/>
              </w:rPr>
              <w:drawing>
                <wp:inline distT="0" distB="0" distL="114300" distR="114300">
                  <wp:extent cx="5398770" cy="2270125"/>
                  <wp:effectExtent l="0" t="0" r="11430" b="15875"/>
                  <wp:docPr id="9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3"/>
                          <pic:cNvPicPr>
                            <a:picLocks noChangeAspect="1"/>
                          </pic:cNvPicPr>
                        </pic:nvPicPr>
                        <pic:blipFill>
                          <a:blip r:embed="rId30"/>
                          <a:stretch>
                            <a:fillRect/>
                          </a:stretch>
                        </pic:blipFill>
                        <pic:spPr>
                          <a:xfrm>
                            <a:off x="0" y="0"/>
                            <a:ext cx="5398770" cy="2270125"/>
                          </a:xfrm>
                          <a:prstGeom prst="rect">
                            <a:avLst/>
                          </a:prstGeom>
                          <a:noFill/>
                          <a:ln>
                            <a:noFill/>
                          </a:ln>
                        </pic:spPr>
                      </pic:pic>
                    </a:graphicData>
                  </a:graphic>
                </wp:inline>
              </w:drawing>
            </w:r>
          </w:p>
          <w:p>
            <w:pPr>
              <w:pStyle w:val="6"/>
              <w:adjustRightInd w:val="0"/>
              <w:snapToGrid w:val="0"/>
              <w:spacing w:before="0" w:after="0" w:line="360" w:lineRule="auto"/>
              <w:ind w:firstLine="1440" w:firstLineChars="600"/>
              <w:rPr>
                <w:rFonts w:ascii="Times New Roman" w:hAnsi="Times New Roman" w:eastAsia="宋体"/>
                <w:bCs/>
                <w:color w:val="auto"/>
                <w:sz w:val="24"/>
              </w:rPr>
            </w:pPr>
            <w:bookmarkStart w:id="14" w:name="_Toc82758615"/>
            <w:r>
              <w:rPr>
                <w:rFonts w:hint="eastAsia" w:ascii="Times New Roman" w:hAnsi="Times New Roman" w:eastAsia="宋体"/>
                <w:b w:val="0"/>
                <w:color w:val="auto"/>
                <w:sz w:val="24"/>
              </w:rPr>
              <w:t>图2-</w:t>
            </w:r>
            <w:r>
              <w:rPr>
                <w:rFonts w:ascii="Times New Roman" w:hAnsi="Times New Roman" w:eastAsia="宋体"/>
                <w:b w:val="0"/>
                <w:color w:val="auto"/>
                <w:sz w:val="24"/>
              </w:rPr>
              <w:t>7</w:t>
            </w:r>
            <w:r>
              <w:rPr>
                <w:rFonts w:hint="eastAsia" w:ascii="Times New Roman" w:hAnsi="Times New Roman" w:eastAsia="宋体"/>
                <w:b w:val="0"/>
                <w:color w:val="auto"/>
                <w:sz w:val="24"/>
              </w:rPr>
              <w:t xml:space="preserve">         </w:t>
            </w:r>
            <w:r>
              <w:rPr>
                <w:rFonts w:hint="eastAsia" w:ascii="Times New Roman" w:hAnsi="Times New Roman" w:eastAsia="宋体"/>
                <w:bCs/>
                <w:color w:val="auto"/>
                <w:kern w:val="2"/>
                <w:sz w:val="24"/>
              </w:rPr>
              <w:t>陡坡段</w:t>
            </w:r>
            <w:r>
              <w:rPr>
                <w:rFonts w:hint="eastAsia" w:ascii="Times New Roman" w:hAnsi="Times New Roman" w:eastAsia="宋体"/>
                <w:bCs/>
                <w:color w:val="auto"/>
                <w:sz w:val="24"/>
              </w:rPr>
              <w:t>设计设计示意图</w:t>
            </w:r>
          </w:p>
          <w:p>
            <w:pPr>
              <w:pStyle w:val="6"/>
              <w:tabs>
                <w:tab w:val="left" w:pos="854"/>
              </w:tabs>
              <w:adjustRightInd w:val="0"/>
              <w:snapToGrid w:val="0"/>
              <w:spacing w:before="0" w:after="0" w:line="360" w:lineRule="auto"/>
              <w:ind w:firstLine="482"/>
              <w:rPr>
                <w:rFonts w:ascii="Times New Roman" w:hAnsi="Times New Roman" w:eastAsia="宋体"/>
                <w:bCs/>
                <w:color w:val="auto"/>
                <w:kern w:val="2"/>
                <w:sz w:val="24"/>
              </w:rPr>
            </w:pPr>
            <w:r>
              <w:rPr>
                <w:rFonts w:hint="eastAsia" w:ascii="Times New Roman" w:hAnsi="Times New Roman" w:eastAsia="宋体"/>
                <w:bCs/>
                <w:color w:val="auto"/>
                <w:kern w:val="2"/>
                <w:sz w:val="24"/>
              </w:rPr>
              <w:t>4、消力池</w:t>
            </w:r>
            <w:bookmarkEnd w:id="14"/>
          </w:p>
          <w:p>
            <w:pPr>
              <w:pStyle w:val="7"/>
              <w:ind w:firstLine="480"/>
              <w:rPr>
                <w:color w:val="auto"/>
              </w:rPr>
            </w:pPr>
            <w:r>
              <w:rPr>
                <w:color w:val="auto"/>
              </w:rPr>
              <w:t>陡坡末端接消力池，采用底流式水跃消能。消力池设计下泄流量</w:t>
            </w:r>
            <w:r>
              <w:rPr>
                <w:rFonts w:hint="eastAsia"/>
                <w:color w:val="auto"/>
              </w:rPr>
              <w:t>为55.1</w:t>
            </w:r>
            <w:r>
              <w:rPr>
                <w:color w:val="auto"/>
              </w:rPr>
              <w:t>m</w:t>
            </w:r>
            <w:r>
              <w:rPr>
                <w:color w:val="auto"/>
                <w:vertAlign w:val="superscript"/>
              </w:rPr>
              <w:t>3</w:t>
            </w:r>
            <w:r>
              <w:rPr>
                <w:color w:val="auto"/>
              </w:rPr>
              <w:t>/s。底宽为</w:t>
            </w:r>
            <w:r>
              <w:rPr>
                <w:rFonts w:hint="eastAsia"/>
                <w:color w:val="auto"/>
              </w:rPr>
              <w:t>6</w:t>
            </w:r>
            <w:r>
              <w:rPr>
                <w:color w:val="auto"/>
              </w:rPr>
              <w:t>.0m，矩形断面，跃前水深为陡坡末端水深</w:t>
            </w:r>
            <w:r>
              <w:rPr>
                <w:rFonts w:hint="eastAsia"/>
                <w:color w:val="auto"/>
              </w:rPr>
              <w:t>0.7</w:t>
            </w:r>
            <w:r>
              <w:rPr>
                <w:color w:val="auto"/>
              </w:rPr>
              <w:t>m。第二共轭水深h</w:t>
            </w:r>
            <w:r>
              <w:rPr>
                <w:color w:val="auto"/>
                <w:vertAlign w:val="subscript"/>
              </w:rPr>
              <w:t>2</w:t>
            </w:r>
            <w:r>
              <w:rPr>
                <w:color w:val="auto"/>
              </w:rPr>
              <w:t>按以下公式计算：</w:t>
            </w:r>
          </w:p>
          <w:p>
            <w:pPr>
              <w:pStyle w:val="7"/>
              <w:ind w:firstLine="0" w:firstLineChars="0"/>
              <w:jc w:val="center"/>
              <w:rPr>
                <w:color w:val="auto"/>
              </w:rPr>
            </w:pPr>
            <w:r>
              <w:rPr>
                <w:color w:val="auto"/>
              </w:rPr>
              <w:t>h</w:t>
            </w:r>
            <w:r>
              <w:rPr>
                <w:color w:val="auto"/>
                <w:vertAlign w:val="subscript"/>
              </w:rPr>
              <w:t>2</w:t>
            </w:r>
            <w:r>
              <w:rPr>
                <w:color w:val="auto"/>
              </w:rPr>
              <w:t>=</w:t>
            </w:r>
            <w:r>
              <w:rPr>
                <w:color w:val="auto"/>
                <w:position w:val="-34"/>
              </w:rPr>
              <w:object>
                <v:shape id="_x0000_i1030" o:spt="75" type="#_x0000_t75" style="height:40.1pt;width:99.2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0" r:id="rId31">
                  <o:LockedField>false</o:LockedField>
                </o:OLEObject>
              </w:object>
            </w:r>
          </w:p>
          <w:p>
            <w:pPr>
              <w:pStyle w:val="7"/>
              <w:ind w:firstLine="480"/>
              <w:rPr>
                <w:color w:val="auto"/>
              </w:rPr>
            </w:pPr>
            <w:r>
              <w:rPr>
                <w:color w:val="auto"/>
              </w:rPr>
              <w:t>式中:h</w:t>
            </w:r>
            <w:r>
              <w:rPr>
                <w:color w:val="auto"/>
                <w:vertAlign w:val="subscript"/>
              </w:rPr>
              <w:t>1</w:t>
            </w:r>
            <w:r>
              <w:rPr>
                <w:color w:val="auto"/>
              </w:rPr>
              <w:t>——跃前水深，m；</w:t>
            </w:r>
          </w:p>
          <w:p>
            <w:pPr>
              <w:pStyle w:val="7"/>
              <w:ind w:firstLine="480"/>
              <w:rPr>
                <w:color w:val="auto"/>
              </w:rPr>
            </w:pPr>
            <w:r>
              <w:rPr>
                <w:color w:val="auto"/>
              </w:rPr>
              <w:t xml:space="preserve">     q——单宽流量，m</w:t>
            </w:r>
            <w:r>
              <w:rPr>
                <w:color w:val="auto"/>
                <w:vertAlign w:val="superscript"/>
              </w:rPr>
              <w:t>3</w:t>
            </w:r>
            <w:r>
              <w:rPr>
                <w:color w:val="auto"/>
              </w:rPr>
              <w:t>/s。</w:t>
            </w:r>
          </w:p>
          <w:p>
            <w:pPr>
              <w:pStyle w:val="7"/>
              <w:ind w:firstLine="480"/>
              <w:rPr>
                <w:color w:val="auto"/>
              </w:rPr>
            </w:pPr>
            <w:r>
              <w:rPr>
                <w:color w:val="auto"/>
              </w:rPr>
              <w:t>计算结果h</w:t>
            </w:r>
            <w:r>
              <w:rPr>
                <w:color w:val="auto"/>
                <w:vertAlign w:val="subscript"/>
              </w:rPr>
              <w:t>2</w:t>
            </w:r>
            <w:r>
              <w:rPr>
                <w:color w:val="auto"/>
              </w:rPr>
              <w:t>为</w:t>
            </w:r>
            <w:r>
              <w:rPr>
                <w:rFonts w:hint="eastAsia"/>
                <w:color w:val="auto"/>
              </w:rPr>
              <w:t>4.96</w:t>
            </w:r>
            <w:r>
              <w:rPr>
                <w:color w:val="auto"/>
              </w:rPr>
              <w:t>m。</w:t>
            </w:r>
          </w:p>
          <w:p>
            <w:pPr>
              <w:pStyle w:val="7"/>
              <w:ind w:left="479" w:leftChars="228" w:firstLine="0" w:firstLineChars="0"/>
              <w:rPr>
                <w:color w:val="auto"/>
              </w:rPr>
            </w:pPr>
            <w:r>
              <w:rPr>
                <w:color w:val="auto"/>
              </w:rPr>
              <w:t>计入安全超高后池深取</w:t>
            </w:r>
            <w:r>
              <w:rPr>
                <w:rFonts w:hint="eastAsia"/>
                <w:color w:val="auto"/>
              </w:rPr>
              <w:t>5.5</w:t>
            </w:r>
            <w:r>
              <w:rPr>
                <w:color w:val="auto"/>
              </w:rPr>
              <w:t>m。</w:t>
            </w:r>
          </w:p>
          <w:p>
            <w:pPr>
              <w:pStyle w:val="7"/>
              <w:ind w:firstLine="480"/>
              <w:textAlignment w:val="bottom"/>
              <w:rPr>
                <w:color w:val="auto"/>
              </w:rPr>
            </w:pPr>
            <w:r>
              <w:rPr>
                <w:color w:val="auto"/>
              </w:rPr>
              <w:t>水跃长度根据经验公式</w:t>
            </w:r>
            <w:r>
              <w:rPr>
                <w:rFonts w:hint="eastAsia"/>
                <w:color w:val="auto"/>
              </w:rPr>
              <w:t>：</w:t>
            </w:r>
          </w:p>
          <w:p>
            <w:pPr>
              <w:pStyle w:val="7"/>
              <w:ind w:firstLine="480"/>
              <w:jc w:val="center"/>
              <w:textAlignment w:val="bottom"/>
              <w:rPr>
                <w:color w:val="auto"/>
              </w:rPr>
            </w:pPr>
            <w:r>
              <w:rPr>
                <w:color w:val="auto"/>
              </w:rPr>
              <w:t>L</w:t>
            </w:r>
            <w:r>
              <w:rPr>
                <w:color w:val="auto"/>
                <w:vertAlign w:val="subscript"/>
              </w:rPr>
              <w:t>j</w:t>
            </w:r>
            <w:r>
              <w:rPr>
                <w:color w:val="auto"/>
              </w:rPr>
              <w:t>=6.9(h</w:t>
            </w:r>
            <w:r>
              <w:rPr>
                <w:color w:val="auto"/>
                <w:vertAlign w:val="subscript"/>
              </w:rPr>
              <w:t>2</w:t>
            </w:r>
            <w:r>
              <w:rPr>
                <w:color w:val="auto"/>
              </w:rPr>
              <w:t>-h</w:t>
            </w:r>
            <w:r>
              <w:rPr>
                <w:color w:val="auto"/>
                <w:vertAlign w:val="subscript"/>
              </w:rPr>
              <w:t>1</w:t>
            </w:r>
            <w:r>
              <w:rPr>
                <w:color w:val="auto"/>
              </w:rPr>
              <w:t>)=</w:t>
            </w:r>
            <w:r>
              <w:rPr>
                <w:rFonts w:hint="eastAsia"/>
                <w:color w:val="auto"/>
              </w:rPr>
              <w:t>29.39</w:t>
            </w:r>
            <w:r>
              <w:rPr>
                <w:color w:val="auto"/>
              </w:rPr>
              <w:t>m。</w:t>
            </w:r>
          </w:p>
          <w:p>
            <w:pPr>
              <w:pStyle w:val="7"/>
              <w:ind w:firstLine="480"/>
              <w:rPr>
                <w:color w:val="auto"/>
              </w:rPr>
            </w:pPr>
            <w:r>
              <w:rPr>
                <w:color w:val="auto"/>
              </w:rPr>
              <w:t>一级消力池长度Lk=0.80×Lj =</w:t>
            </w:r>
            <w:r>
              <w:rPr>
                <w:rFonts w:hint="eastAsia"/>
                <w:color w:val="auto"/>
              </w:rPr>
              <w:t>23.5</w:t>
            </w:r>
            <w:r>
              <w:rPr>
                <w:color w:val="auto"/>
              </w:rPr>
              <w:t>m,（0.80为消力池长度修正系数）</w:t>
            </w:r>
          </w:p>
          <w:p>
            <w:pPr>
              <w:pStyle w:val="7"/>
              <w:ind w:firstLine="480"/>
              <w:rPr>
                <w:color w:val="auto"/>
              </w:rPr>
            </w:pPr>
            <w:r>
              <w:rPr>
                <w:color w:val="auto"/>
              </w:rPr>
              <w:t>一级消力池长度Lk定为</w:t>
            </w:r>
            <w:r>
              <w:rPr>
                <w:rFonts w:hint="eastAsia"/>
                <w:color w:val="auto"/>
              </w:rPr>
              <w:t>24</w:t>
            </w:r>
            <w:r>
              <w:rPr>
                <w:color w:val="auto"/>
              </w:rPr>
              <w:t>m，消力池边墙高为</w:t>
            </w:r>
            <w:r>
              <w:rPr>
                <w:rFonts w:hint="eastAsia"/>
                <w:color w:val="auto"/>
              </w:rPr>
              <w:t>5.5</w:t>
            </w:r>
            <w:r>
              <w:rPr>
                <w:color w:val="auto"/>
              </w:rPr>
              <w:t>m。</w:t>
            </w:r>
          </w:p>
          <w:p>
            <w:pPr>
              <w:pStyle w:val="7"/>
              <w:ind w:firstLine="480"/>
              <w:rPr>
                <w:color w:val="auto"/>
                <w:lang w:val="eu-ES"/>
              </w:rPr>
            </w:pPr>
            <w:r>
              <w:rPr>
                <w:rFonts w:hint="eastAsia"/>
                <w:color w:val="auto"/>
              </w:rPr>
              <w:t>消力池为现浇钢筋混凝土整体式结构</w:t>
            </w:r>
            <w:r>
              <w:rPr>
                <w:color w:val="auto"/>
              </w:rPr>
              <w:t>，</w:t>
            </w:r>
            <w:r>
              <w:rPr>
                <w:rFonts w:hint="eastAsia"/>
                <w:color w:val="auto"/>
              </w:rPr>
              <w:t>底宽6m，侧墙</w:t>
            </w:r>
            <w:r>
              <w:rPr>
                <w:color w:val="auto"/>
              </w:rPr>
              <w:t>高</w:t>
            </w:r>
            <w:r>
              <w:rPr>
                <w:rFonts w:hint="eastAsia"/>
                <w:color w:val="auto"/>
              </w:rPr>
              <w:t>5.5</w:t>
            </w:r>
            <w:r>
              <w:rPr>
                <w:color w:val="auto"/>
              </w:rPr>
              <w:t>m</w:t>
            </w:r>
            <w:r>
              <w:rPr>
                <w:rFonts w:hint="eastAsia"/>
                <w:color w:val="auto"/>
              </w:rPr>
              <w:t>，</w:t>
            </w:r>
            <w:r>
              <w:rPr>
                <w:color w:val="auto"/>
              </w:rPr>
              <w:t>底板厚</w:t>
            </w:r>
            <w:r>
              <w:rPr>
                <w:rFonts w:hint="eastAsia"/>
                <w:color w:val="auto"/>
              </w:rPr>
              <w:t>0.8</w:t>
            </w:r>
            <w:r>
              <w:rPr>
                <w:color w:val="auto"/>
              </w:rPr>
              <w:t>m，</w:t>
            </w:r>
            <w:r>
              <w:rPr>
                <w:rFonts w:hint="eastAsia"/>
                <w:color w:val="auto"/>
              </w:rPr>
              <w:t>消力池长24m，</w:t>
            </w:r>
            <w:r>
              <w:rPr>
                <w:color w:val="auto"/>
              </w:rPr>
              <w:t>顶宽0.</w:t>
            </w:r>
            <w:r>
              <w:rPr>
                <w:rFonts w:hint="eastAsia"/>
                <w:color w:val="auto"/>
              </w:rPr>
              <w:t>3</w:t>
            </w:r>
            <w:r>
              <w:rPr>
                <w:color w:val="auto"/>
              </w:rPr>
              <w:t>m，内侧垂直，</w:t>
            </w:r>
            <w:r>
              <w:rPr>
                <w:rFonts w:hint="eastAsia"/>
                <w:color w:val="auto"/>
              </w:rPr>
              <w:t>背坡倾斜坡度</w:t>
            </w:r>
            <w:r>
              <w:rPr>
                <w:color w:val="auto"/>
              </w:rPr>
              <w:t>1:0.</w:t>
            </w:r>
            <w:r>
              <w:rPr>
                <w:rFonts w:hint="eastAsia"/>
                <w:color w:val="auto"/>
              </w:rPr>
              <w:t>05，二级消力池</w:t>
            </w:r>
            <w:r>
              <w:rPr>
                <w:color w:val="auto"/>
              </w:rPr>
              <w:t>设伸缩缝1道，缝宽30mm，</w:t>
            </w:r>
            <w:r>
              <w:rPr>
                <w:rFonts w:hint="eastAsia"/>
                <w:color w:val="auto"/>
              </w:rPr>
              <w:t>伸缩缝设置同陡坡段，底板</w:t>
            </w:r>
            <w:r>
              <w:rPr>
                <w:color w:val="auto"/>
                <w:lang w:val="eu-ES"/>
              </w:rPr>
              <w:t>结构材料</w:t>
            </w:r>
            <w:r>
              <w:rPr>
                <w:rFonts w:hint="eastAsia"/>
                <w:color w:val="auto"/>
              </w:rPr>
              <w:t>为</w:t>
            </w:r>
            <w:r>
              <w:rPr>
                <w:color w:val="auto"/>
              </w:rPr>
              <w:t>C</w:t>
            </w:r>
            <w:r>
              <w:rPr>
                <w:rFonts w:hint="eastAsia"/>
                <w:color w:val="auto"/>
              </w:rPr>
              <w:t>30</w:t>
            </w:r>
            <w:r>
              <w:rPr>
                <w:color w:val="auto"/>
              </w:rPr>
              <w:t>、F150、W</w:t>
            </w:r>
            <w:r>
              <w:rPr>
                <w:rFonts w:hint="eastAsia"/>
                <w:color w:val="auto"/>
              </w:rPr>
              <w:t>6混凝土，混凝土采用抗冲耐磨混凝土。</w:t>
            </w:r>
            <w:r>
              <w:rPr>
                <w:color w:val="auto"/>
                <w:lang w:val="eu-ES"/>
              </w:rPr>
              <w:t>底板下设0.1m厚的C</w:t>
            </w:r>
            <w:r>
              <w:rPr>
                <w:rFonts w:hint="eastAsia"/>
                <w:color w:val="auto"/>
              </w:rPr>
              <w:t>20</w:t>
            </w:r>
            <w:r>
              <w:rPr>
                <w:color w:val="auto"/>
                <w:lang w:val="eu-ES"/>
              </w:rPr>
              <w:t>素砼垫层，基础采用1.0米厚</w:t>
            </w:r>
            <w:r>
              <w:rPr>
                <w:rFonts w:hint="eastAsia"/>
                <w:color w:val="auto"/>
              </w:rPr>
              <w:t>挤密块石</w:t>
            </w:r>
            <w:r>
              <w:rPr>
                <w:color w:val="auto"/>
                <w:lang w:val="eu-ES"/>
              </w:rPr>
              <w:t>处理。</w:t>
            </w:r>
          </w:p>
          <w:p>
            <w:pPr>
              <w:pStyle w:val="6"/>
              <w:adjustRightInd w:val="0"/>
              <w:snapToGrid w:val="0"/>
              <w:spacing w:before="0" w:after="0"/>
              <w:ind w:firstLine="0" w:firstLineChars="0"/>
              <w:rPr>
                <w:rFonts w:ascii="Times New Roman" w:hAnsi="Times New Roman" w:eastAsia="宋体"/>
                <w:bCs/>
                <w:color w:val="auto"/>
                <w:sz w:val="24"/>
              </w:rPr>
            </w:pPr>
            <w:r>
              <w:rPr>
                <w:color w:val="auto"/>
              </w:rPr>
              <w:drawing>
                <wp:inline distT="0" distB="0" distL="114300" distR="114300">
                  <wp:extent cx="5395595" cy="2579370"/>
                  <wp:effectExtent l="0" t="0" r="14605" b="11430"/>
                  <wp:docPr id="9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5"/>
                          <pic:cNvPicPr>
                            <a:picLocks noChangeAspect="1"/>
                          </pic:cNvPicPr>
                        </pic:nvPicPr>
                        <pic:blipFill>
                          <a:blip r:embed="rId33"/>
                          <a:stretch>
                            <a:fillRect/>
                          </a:stretch>
                        </pic:blipFill>
                        <pic:spPr>
                          <a:xfrm>
                            <a:off x="0" y="0"/>
                            <a:ext cx="5395595" cy="2579370"/>
                          </a:xfrm>
                          <a:prstGeom prst="rect">
                            <a:avLst/>
                          </a:prstGeom>
                          <a:noFill/>
                          <a:ln>
                            <a:noFill/>
                          </a:ln>
                        </pic:spPr>
                      </pic:pic>
                    </a:graphicData>
                  </a:graphic>
                </wp:inline>
              </w:drawing>
            </w:r>
          </w:p>
          <w:p>
            <w:pPr>
              <w:pStyle w:val="6"/>
              <w:adjustRightInd w:val="0"/>
              <w:snapToGrid w:val="0"/>
              <w:spacing w:before="0" w:after="0" w:line="360" w:lineRule="auto"/>
              <w:ind w:firstLine="1440" w:firstLineChars="600"/>
              <w:rPr>
                <w:rFonts w:ascii="Times New Roman" w:hAnsi="Times New Roman" w:eastAsia="宋体"/>
                <w:bCs/>
                <w:color w:val="auto"/>
                <w:sz w:val="24"/>
              </w:rPr>
            </w:pPr>
            <w:r>
              <w:rPr>
                <w:rFonts w:hint="eastAsia" w:ascii="Times New Roman" w:hAnsi="Times New Roman" w:eastAsia="宋体"/>
                <w:b w:val="0"/>
                <w:color w:val="auto"/>
                <w:sz w:val="24"/>
              </w:rPr>
              <w:t>图2-</w:t>
            </w:r>
            <w:r>
              <w:rPr>
                <w:rFonts w:ascii="Times New Roman" w:hAnsi="Times New Roman" w:eastAsia="宋体"/>
                <w:b w:val="0"/>
                <w:color w:val="auto"/>
                <w:sz w:val="24"/>
              </w:rPr>
              <w:t>6</w:t>
            </w:r>
            <w:r>
              <w:rPr>
                <w:rFonts w:hint="eastAsia" w:ascii="Times New Roman" w:hAnsi="Times New Roman" w:eastAsia="宋体"/>
                <w:b w:val="0"/>
                <w:color w:val="auto"/>
                <w:sz w:val="24"/>
              </w:rPr>
              <w:t xml:space="preserve">         </w:t>
            </w:r>
            <w:r>
              <w:rPr>
                <w:rFonts w:hint="eastAsia" w:ascii="Times New Roman" w:hAnsi="Times New Roman" w:eastAsia="宋体"/>
                <w:bCs/>
                <w:color w:val="auto"/>
                <w:sz w:val="24"/>
              </w:rPr>
              <w:t>项目</w:t>
            </w:r>
            <w:r>
              <w:rPr>
                <w:rFonts w:hint="eastAsia" w:ascii="Times New Roman" w:hAnsi="Times New Roman" w:eastAsia="宋体"/>
                <w:bCs/>
                <w:color w:val="auto"/>
                <w:kern w:val="2"/>
                <w:sz w:val="24"/>
              </w:rPr>
              <w:t>消力池</w:t>
            </w:r>
            <w:r>
              <w:rPr>
                <w:rFonts w:hint="eastAsia" w:ascii="Times New Roman" w:hAnsi="Times New Roman" w:eastAsia="宋体"/>
                <w:bCs/>
                <w:color w:val="auto"/>
                <w:sz w:val="24"/>
              </w:rPr>
              <w:t>设计设计示意图</w:t>
            </w:r>
          </w:p>
          <w:p>
            <w:pPr>
              <w:pStyle w:val="6"/>
              <w:adjustRightInd w:val="0"/>
              <w:snapToGrid w:val="0"/>
              <w:spacing w:before="0" w:after="0"/>
              <w:ind w:firstLine="482"/>
              <w:rPr>
                <w:rFonts w:ascii="Times New Roman" w:hAnsi="Times New Roman" w:eastAsia="宋体"/>
                <w:bCs/>
                <w:color w:val="auto"/>
                <w:sz w:val="24"/>
              </w:rPr>
            </w:pPr>
            <w:r>
              <w:rPr>
                <w:rFonts w:hint="eastAsia" w:ascii="Times New Roman" w:hAnsi="Times New Roman" w:eastAsia="宋体"/>
                <w:bCs/>
                <w:color w:val="auto"/>
                <w:sz w:val="24"/>
              </w:rPr>
              <w:t>5、海漫段</w:t>
            </w:r>
          </w:p>
          <w:p>
            <w:pPr>
              <w:pStyle w:val="6"/>
              <w:adjustRightInd w:val="0"/>
              <w:snapToGrid w:val="0"/>
              <w:spacing w:before="0" w:after="0"/>
              <w:ind w:firstLine="480"/>
              <w:rPr>
                <w:rFonts w:ascii="Times New Roman" w:hAnsi="Times New Roman" w:eastAsia="宋体"/>
                <w:b w:val="0"/>
                <w:color w:val="auto"/>
                <w:kern w:val="2"/>
                <w:sz w:val="24"/>
                <w:szCs w:val="20"/>
              </w:rPr>
            </w:pPr>
            <w:r>
              <w:rPr>
                <w:rFonts w:hint="eastAsia" w:ascii="Times New Roman" w:hAnsi="Times New Roman" w:eastAsia="宋体"/>
                <w:b w:val="0"/>
                <w:color w:val="auto"/>
                <w:kern w:val="2"/>
                <w:sz w:val="24"/>
                <w:szCs w:val="20"/>
              </w:rPr>
              <w:t>消力池出口末端铺设10.0m长的格宾海漫，厚度0.8m，底宽15.72m，与下游沟道平顺衔接。</w:t>
            </w:r>
          </w:p>
          <w:p>
            <w:pPr>
              <w:pStyle w:val="6"/>
              <w:adjustRightInd w:val="0"/>
              <w:snapToGrid w:val="0"/>
              <w:spacing w:before="0" w:after="0"/>
              <w:ind w:firstLine="482"/>
              <w:rPr>
                <w:rFonts w:ascii="Times New Roman" w:hAnsi="Times New Roman" w:eastAsia="宋体"/>
                <w:bCs/>
                <w:color w:val="auto"/>
                <w:sz w:val="24"/>
              </w:rPr>
            </w:pPr>
            <w:r>
              <w:rPr>
                <w:rFonts w:ascii="Times New Roman" w:hAnsi="Times New Roman" w:eastAsia="宋体"/>
                <w:bCs/>
                <w:color w:val="auto"/>
                <w:sz w:val="24"/>
              </w:rPr>
              <w:t>6</w:t>
            </w:r>
            <w:r>
              <w:rPr>
                <w:rFonts w:hint="eastAsia" w:ascii="Times New Roman" w:hAnsi="Times New Roman" w:eastAsia="宋体"/>
                <w:bCs/>
                <w:color w:val="auto"/>
                <w:sz w:val="24"/>
              </w:rPr>
              <w:t>、排洪渠基槽开挖处理</w:t>
            </w:r>
          </w:p>
          <w:p>
            <w:pPr>
              <w:pStyle w:val="6"/>
              <w:adjustRightInd w:val="0"/>
              <w:snapToGrid w:val="0"/>
              <w:spacing w:before="0" w:after="0"/>
              <w:ind w:firstLine="480"/>
              <w:rPr>
                <w:rFonts w:ascii="Times New Roman" w:hAnsi="Times New Roman" w:eastAsia="宋体"/>
                <w:b w:val="0"/>
                <w:color w:val="auto"/>
                <w:kern w:val="2"/>
                <w:sz w:val="24"/>
                <w:szCs w:val="20"/>
              </w:rPr>
            </w:pPr>
            <w:r>
              <w:rPr>
                <w:rFonts w:hint="eastAsia" w:ascii="Times New Roman" w:hAnsi="Times New Roman" w:eastAsia="宋体"/>
                <w:b w:val="0"/>
                <w:color w:val="auto"/>
                <w:kern w:val="2"/>
                <w:sz w:val="24"/>
                <w:szCs w:val="20"/>
              </w:rPr>
              <w:t>桩号</w:t>
            </w:r>
            <w:r>
              <w:rPr>
                <w:rFonts w:ascii="Times New Roman" w:hAnsi="Times New Roman" w:eastAsia="宋体"/>
                <w:b w:val="0"/>
                <w:color w:val="auto"/>
                <w:kern w:val="2"/>
                <w:sz w:val="24"/>
                <w:szCs w:val="20"/>
              </w:rPr>
              <w:t>K0+018-K1+102</w:t>
            </w:r>
            <w:r>
              <w:rPr>
                <w:rFonts w:hint="eastAsia" w:ascii="Times New Roman" w:hAnsi="Times New Roman" w:eastAsia="宋体"/>
                <w:b w:val="0"/>
                <w:color w:val="auto"/>
                <w:kern w:val="2"/>
                <w:sz w:val="24"/>
                <w:szCs w:val="20"/>
              </w:rPr>
              <w:t>段排洪渠基础坐落在岸坡治理区上（主要充填物为煤矸石），煤矸石分层压实，分层厚度不大于</w:t>
            </w:r>
            <w:r>
              <w:rPr>
                <w:rFonts w:ascii="Times New Roman" w:hAnsi="Times New Roman" w:eastAsia="宋体"/>
                <w:b w:val="0"/>
                <w:color w:val="auto"/>
                <w:kern w:val="2"/>
                <w:sz w:val="24"/>
                <w:szCs w:val="20"/>
              </w:rPr>
              <w:t>0.5m</w:t>
            </w:r>
            <w:r>
              <w:rPr>
                <w:rFonts w:hint="eastAsia" w:ascii="Times New Roman" w:hAnsi="Times New Roman" w:eastAsia="宋体"/>
                <w:b w:val="0"/>
                <w:color w:val="auto"/>
                <w:kern w:val="2"/>
                <w:sz w:val="24"/>
                <w:szCs w:val="20"/>
              </w:rPr>
              <w:t>，压实系数不小于</w:t>
            </w:r>
            <w:r>
              <w:rPr>
                <w:rFonts w:ascii="Times New Roman" w:hAnsi="Times New Roman" w:eastAsia="宋体"/>
                <w:b w:val="0"/>
                <w:color w:val="auto"/>
                <w:kern w:val="2"/>
                <w:sz w:val="24"/>
                <w:szCs w:val="20"/>
              </w:rPr>
              <w:t>0.95</w:t>
            </w:r>
            <w:r>
              <w:rPr>
                <w:rFonts w:hint="eastAsia" w:ascii="Times New Roman" w:hAnsi="Times New Roman" w:eastAsia="宋体"/>
                <w:b w:val="0"/>
                <w:color w:val="auto"/>
                <w:kern w:val="2"/>
                <w:sz w:val="24"/>
                <w:szCs w:val="20"/>
              </w:rPr>
              <w:t>，之后再进行基础处理并砌筑排洪渠。桩号</w:t>
            </w:r>
            <w:r>
              <w:rPr>
                <w:rFonts w:ascii="Times New Roman" w:hAnsi="Times New Roman" w:eastAsia="宋体"/>
                <w:b w:val="0"/>
                <w:color w:val="auto"/>
                <w:kern w:val="2"/>
                <w:sz w:val="24"/>
                <w:szCs w:val="20"/>
              </w:rPr>
              <w:t>K1+122- K1+644</w:t>
            </w:r>
            <w:r>
              <w:rPr>
                <w:rFonts w:hint="eastAsia" w:ascii="Times New Roman" w:hAnsi="Times New Roman" w:eastAsia="宋体"/>
                <w:b w:val="0"/>
                <w:color w:val="auto"/>
                <w:kern w:val="2"/>
                <w:sz w:val="24"/>
                <w:szCs w:val="20"/>
              </w:rPr>
              <w:t>段排洪渠基础坐落在矸石场上（主要充填物为煤矸石），基槽开挖后用震动压路机碾压</w:t>
            </w:r>
            <w:r>
              <w:rPr>
                <w:rFonts w:ascii="Times New Roman" w:hAnsi="Times New Roman" w:eastAsia="宋体"/>
                <w:b w:val="0"/>
                <w:color w:val="auto"/>
                <w:kern w:val="2"/>
                <w:sz w:val="24"/>
                <w:szCs w:val="20"/>
              </w:rPr>
              <w:t>6~7</w:t>
            </w:r>
            <w:r>
              <w:rPr>
                <w:rFonts w:hint="eastAsia" w:ascii="Times New Roman" w:hAnsi="Times New Roman" w:eastAsia="宋体"/>
                <w:b w:val="0"/>
                <w:color w:val="auto"/>
                <w:kern w:val="2"/>
                <w:sz w:val="24"/>
                <w:szCs w:val="20"/>
              </w:rPr>
              <w:t>次，之后再进行基础处理并砌筑排洪渠。桩号</w:t>
            </w:r>
            <w:r>
              <w:rPr>
                <w:rFonts w:ascii="Times New Roman" w:hAnsi="Times New Roman" w:eastAsia="宋体"/>
                <w:b w:val="0"/>
                <w:color w:val="auto"/>
                <w:kern w:val="2"/>
                <w:sz w:val="24"/>
                <w:szCs w:val="20"/>
              </w:rPr>
              <w:t>K1+644- K1+708.5</w:t>
            </w:r>
            <w:r>
              <w:rPr>
                <w:rFonts w:hint="eastAsia" w:ascii="Times New Roman" w:hAnsi="Times New Roman" w:eastAsia="宋体"/>
                <w:b w:val="0"/>
                <w:color w:val="auto"/>
                <w:kern w:val="2"/>
                <w:sz w:val="24"/>
                <w:szCs w:val="20"/>
              </w:rPr>
              <w:t>段排洪渠基础坐落在原状基础上，地层岩性为壤土，基槽开挖后用震动压路机碾压</w:t>
            </w:r>
            <w:r>
              <w:rPr>
                <w:rFonts w:ascii="Times New Roman" w:hAnsi="Times New Roman" w:eastAsia="宋体"/>
                <w:b w:val="0"/>
                <w:color w:val="auto"/>
                <w:kern w:val="2"/>
                <w:sz w:val="24"/>
                <w:szCs w:val="20"/>
              </w:rPr>
              <w:t>2~3</w:t>
            </w:r>
            <w:r>
              <w:rPr>
                <w:rFonts w:hint="eastAsia" w:ascii="Times New Roman" w:hAnsi="Times New Roman" w:eastAsia="宋体"/>
                <w:b w:val="0"/>
                <w:color w:val="auto"/>
                <w:kern w:val="2"/>
                <w:sz w:val="24"/>
                <w:szCs w:val="20"/>
              </w:rPr>
              <w:t>次，之后再进行基础处理并浇筑排洪渠。</w:t>
            </w:r>
          </w:p>
          <w:p>
            <w:pPr>
              <w:pStyle w:val="6"/>
              <w:adjustRightInd w:val="0"/>
              <w:snapToGrid w:val="0"/>
              <w:spacing w:before="0" w:after="0"/>
              <w:ind w:firstLine="0" w:firstLineChars="0"/>
              <w:rPr>
                <w:rFonts w:ascii="Times New Roman" w:hAnsi="Times New Roman" w:eastAsia="宋体"/>
                <w:bCs/>
                <w:color w:val="auto"/>
                <w:sz w:val="24"/>
              </w:rPr>
            </w:pPr>
            <w:r>
              <w:rPr>
                <w:rFonts w:ascii="Times New Roman" w:hAnsi="Times New Roman" w:eastAsia="宋体"/>
                <w:bCs/>
                <w:color w:val="auto"/>
                <w:sz w:val="24"/>
              </w:rPr>
              <w:t>2.2.4</w:t>
            </w:r>
            <w:r>
              <w:rPr>
                <w:rFonts w:hint="eastAsia" w:ascii="Times New Roman" w:hAnsi="Times New Roman" w:eastAsia="宋体"/>
                <w:bCs/>
                <w:color w:val="auto"/>
                <w:sz w:val="24"/>
              </w:rPr>
              <w:t>.</w:t>
            </w:r>
            <w:r>
              <w:rPr>
                <w:rFonts w:ascii="Times New Roman" w:hAnsi="Times New Roman" w:eastAsia="宋体"/>
                <w:bCs/>
                <w:color w:val="auto"/>
                <w:sz w:val="24"/>
              </w:rPr>
              <w:t xml:space="preserve">5 </w:t>
            </w:r>
            <w:r>
              <w:rPr>
                <w:rFonts w:hint="eastAsia" w:ascii="宋体" w:hAnsi="宋体" w:eastAsia="宋体"/>
                <w:bCs/>
                <w:color w:val="auto"/>
                <w:sz w:val="24"/>
              </w:rPr>
              <w:t>Ⅱ</w:t>
            </w:r>
            <w:r>
              <w:rPr>
                <w:rFonts w:hint="eastAsia" w:ascii="Times New Roman" w:hAnsi="Times New Roman" w:eastAsia="宋体"/>
                <w:bCs/>
                <w:color w:val="auto"/>
                <w:sz w:val="24"/>
              </w:rPr>
              <w:t>类一般工业固体废物处置场截洪渠</w:t>
            </w:r>
          </w:p>
          <w:p>
            <w:pPr>
              <w:pStyle w:val="6"/>
              <w:adjustRightInd w:val="0"/>
              <w:snapToGrid w:val="0"/>
              <w:spacing w:before="0" w:after="0"/>
              <w:ind w:firstLine="480"/>
              <w:rPr>
                <w:rFonts w:ascii="Times New Roman" w:hAnsi="Times New Roman" w:eastAsia="宋体"/>
                <w:b w:val="0"/>
                <w:color w:val="auto"/>
                <w:sz w:val="24"/>
              </w:rPr>
            </w:pPr>
            <w:r>
              <w:rPr>
                <w:rFonts w:hint="eastAsia" w:ascii="Times New Roman" w:hAnsi="Times New Roman" w:eastAsia="宋体"/>
                <w:b w:val="0"/>
                <w:color w:val="auto"/>
                <w:sz w:val="24"/>
              </w:rPr>
              <w:t>本次对现有矸石场顶部意见0.5万m</w:t>
            </w:r>
            <w:r>
              <w:rPr>
                <w:rFonts w:hint="eastAsia" w:ascii="Times New Roman" w:hAnsi="Times New Roman" w:eastAsia="宋体"/>
                <w:b w:val="0"/>
                <w:color w:val="auto"/>
                <w:sz w:val="24"/>
                <w:vertAlign w:val="superscript"/>
              </w:rPr>
              <w:t>3</w:t>
            </w:r>
            <w:r>
              <w:rPr>
                <w:rFonts w:hint="eastAsia" w:ascii="Times New Roman" w:hAnsi="Times New Roman" w:eastAsia="宋体"/>
                <w:b w:val="0"/>
                <w:color w:val="auto"/>
                <w:sz w:val="24"/>
              </w:rPr>
              <w:t>II类一般工业固体废物处置场四周设置截洪渠，将水截留进入拟建主排洪渠排至下游沟道。由于II类一般工业固体废物处置场设在王洼二矿矸石场上，地基会存在一定沉降变形，本次截洪渠采用格宾砌护梯形断面，结构同主排洪渠明渠段，渠底宽1m，高1m，边坡为1:2，坡比为0.001。</w:t>
            </w:r>
          </w:p>
          <w:p>
            <w:pPr>
              <w:rPr>
                <w:color w:val="auto"/>
              </w:rPr>
            </w:pPr>
          </w:p>
          <w:p>
            <w:pPr>
              <w:pStyle w:val="2"/>
              <w:ind w:firstLine="210"/>
              <w:rPr>
                <w:color w:val="auto"/>
              </w:rPr>
            </w:pPr>
          </w:p>
          <w:p>
            <w:pPr>
              <w:rPr>
                <w:color w:val="auto"/>
              </w:rPr>
            </w:pPr>
          </w:p>
          <w:p>
            <w:pPr>
              <w:jc w:val="center"/>
              <w:rPr>
                <w:b/>
                <w:bCs/>
                <w:color w:val="auto"/>
                <w:kern w:val="0"/>
                <w:sz w:val="24"/>
              </w:rPr>
            </w:pPr>
            <w:r>
              <w:rPr>
                <w:color w:val="auto"/>
              </w:rPr>
              <w:drawing>
                <wp:inline distT="0" distB="0" distL="114300" distR="114300">
                  <wp:extent cx="5211445" cy="3524250"/>
                  <wp:effectExtent l="0" t="0" r="8255" b="0"/>
                  <wp:docPr id="9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6"/>
                          <pic:cNvPicPr>
                            <a:picLocks noChangeAspect="1"/>
                          </pic:cNvPicPr>
                        </pic:nvPicPr>
                        <pic:blipFill>
                          <a:blip r:embed="rId34"/>
                          <a:stretch>
                            <a:fillRect/>
                          </a:stretch>
                        </pic:blipFill>
                        <pic:spPr>
                          <a:xfrm>
                            <a:off x="0" y="0"/>
                            <a:ext cx="5212711" cy="3524821"/>
                          </a:xfrm>
                          <a:prstGeom prst="rect">
                            <a:avLst/>
                          </a:prstGeom>
                          <a:noFill/>
                          <a:ln>
                            <a:noFill/>
                          </a:ln>
                        </pic:spPr>
                      </pic:pic>
                    </a:graphicData>
                  </a:graphic>
                </wp:inline>
              </w:drawing>
            </w:r>
          </w:p>
          <w:p>
            <w:pPr>
              <w:pStyle w:val="6"/>
              <w:adjustRightInd w:val="0"/>
              <w:snapToGrid w:val="0"/>
              <w:spacing w:before="0" w:after="0" w:line="360" w:lineRule="auto"/>
              <w:ind w:firstLine="1440" w:firstLineChars="600"/>
              <w:rPr>
                <w:rFonts w:ascii="Times New Roman" w:hAnsi="Times New Roman" w:eastAsia="宋体"/>
                <w:bCs/>
                <w:color w:val="auto"/>
                <w:sz w:val="24"/>
              </w:rPr>
            </w:pPr>
            <w:bookmarkStart w:id="15" w:name="_Toc82758619"/>
            <w:bookmarkStart w:id="16" w:name="_Toc22219"/>
            <w:r>
              <w:rPr>
                <w:rFonts w:hint="eastAsia" w:ascii="Times New Roman" w:hAnsi="Times New Roman" w:eastAsia="宋体"/>
                <w:b w:val="0"/>
                <w:color w:val="auto"/>
                <w:sz w:val="24"/>
              </w:rPr>
              <w:t>图2-</w:t>
            </w:r>
            <w:r>
              <w:rPr>
                <w:rFonts w:ascii="Times New Roman" w:hAnsi="Times New Roman" w:eastAsia="宋体"/>
                <w:b w:val="0"/>
                <w:color w:val="auto"/>
                <w:sz w:val="24"/>
              </w:rPr>
              <w:t>7</w:t>
            </w:r>
            <w:r>
              <w:rPr>
                <w:rFonts w:hint="eastAsia" w:ascii="Times New Roman" w:hAnsi="Times New Roman" w:eastAsia="宋体"/>
                <w:b w:val="0"/>
                <w:color w:val="auto"/>
                <w:sz w:val="24"/>
              </w:rPr>
              <w:t xml:space="preserve">         </w:t>
            </w:r>
            <w:r>
              <w:rPr>
                <w:rFonts w:hint="eastAsia" w:ascii="Times New Roman" w:hAnsi="Times New Roman" w:eastAsia="宋体"/>
                <w:bCs/>
                <w:color w:val="auto"/>
                <w:sz w:val="24"/>
              </w:rPr>
              <w:t>截洪渠设计设计示意图</w:t>
            </w:r>
          </w:p>
          <w:p>
            <w:pPr>
              <w:pStyle w:val="6"/>
              <w:adjustRightInd w:val="0"/>
              <w:snapToGrid w:val="0"/>
              <w:spacing w:before="0" w:after="0"/>
              <w:ind w:firstLine="0" w:firstLineChars="0"/>
              <w:rPr>
                <w:rFonts w:ascii="Times New Roman" w:hAnsi="Times New Roman" w:eastAsia="宋体"/>
                <w:bCs/>
                <w:color w:val="auto"/>
                <w:sz w:val="24"/>
              </w:rPr>
            </w:pPr>
            <w:r>
              <w:rPr>
                <w:rFonts w:ascii="Times New Roman" w:hAnsi="Times New Roman" w:eastAsia="宋体"/>
                <w:bCs/>
                <w:color w:val="auto"/>
                <w:sz w:val="24"/>
              </w:rPr>
              <w:t>2.2.4</w:t>
            </w:r>
            <w:r>
              <w:rPr>
                <w:rFonts w:hint="eastAsia" w:ascii="Times New Roman" w:hAnsi="Times New Roman" w:eastAsia="宋体"/>
                <w:bCs/>
                <w:color w:val="auto"/>
                <w:sz w:val="24"/>
              </w:rPr>
              <w:t>.</w:t>
            </w:r>
            <w:r>
              <w:rPr>
                <w:rFonts w:ascii="Times New Roman" w:hAnsi="Times New Roman" w:eastAsia="宋体"/>
                <w:bCs/>
                <w:color w:val="auto"/>
                <w:sz w:val="24"/>
              </w:rPr>
              <w:t>6</w:t>
            </w:r>
            <w:r>
              <w:rPr>
                <w:rFonts w:hint="eastAsia" w:ascii="Times New Roman" w:hAnsi="Times New Roman" w:eastAsia="宋体"/>
                <w:bCs/>
                <w:color w:val="auto"/>
                <w:sz w:val="24"/>
              </w:rPr>
              <w:t>监测井设计</w:t>
            </w:r>
            <w:bookmarkEnd w:id="15"/>
            <w:bookmarkEnd w:id="16"/>
          </w:p>
          <w:p>
            <w:pPr>
              <w:pStyle w:val="41"/>
              <w:widowControl w:val="0"/>
              <w:ind w:firstLine="480"/>
              <w:rPr>
                <w:color w:val="auto"/>
              </w:rPr>
            </w:pPr>
            <w:r>
              <w:rPr>
                <w:rFonts w:hint="eastAsia"/>
                <w:color w:val="auto"/>
                <w:szCs w:val="24"/>
              </w:rPr>
              <w:t>矸石场上游及拦渣坝下游沟道各设1处监测井，对矸石场附近地下水水质进行</w:t>
            </w:r>
            <w:r>
              <w:rPr>
                <w:rFonts w:hint="eastAsia"/>
                <w:color w:val="auto"/>
                <w:kern w:val="0"/>
              </w:rPr>
              <w:t>跟踪监测。</w:t>
            </w:r>
            <w:r>
              <w:rPr>
                <w:rFonts w:hint="eastAsia"/>
                <w:color w:val="auto"/>
              </w:rPr>
              <w:t>监测</w:t>
            </w:r>
            <w:r>
              <w:rPr>
                <w:color w:val="auto"/>
              </w:rPr>
              <w:t>井采用PE管，直径110mm之间，壁厚大于5mm；PE管下端封堵严实，其上0.5～1m打孔，均匀分布，外侧采用无纺土工布包裹，</w:t>
            </w:r>
            <w:r>
              <w:rPr>
                <w:rFonts w:hint="eastAsia"/>
                <w:color w:val="auto"/>
              </w:rPr>
              <w:t>监测</w:t>
            </w:r>
            <w:r>
              <w:rPr>
                <w:color w:val="auto"/>
              </w:rPr>
              <w:t>井高出地面</w:t>
            </w:r>
            <w:r>
              <w:rPr>
                <w:rFonts w:hint="eastAsia"/>
                <w:color w:val="auto"/>
              </w:rPr>
              <w:t>0.</w:t>
            </w:r>
            <w:r>
              <w:rPr>
                <w:color w:val="auto"/>
              </w:rPr>
              <w:t>5m；PE管外围采用砂砾或卵石回填，至距离地面约2m时采用粘土填筑，井口高于地面部分四周采取混凝土硬化处理，并于观测井顶部加盖。</w:t>
            </w:r>
            <w:r>
              <w:rPr>
                <w:rFonts w:hint="eastAsia"/>
                <w:color w:val="auto"/>
                <w:szCs w:val="24"/>
              </w:rPr>
              <w:t>监测</w:t>
            </w:r>
            <w:r>
              <w:rPr>
                <w:color w:val="auto"/>
                <w:szCs w:val="24"/>
              </w:rPr>
              <w:t>井深度为地下水位以下0.5m～2m，若其处于地下水水位可能上升的区域取下限，可能下降的区域取下限</w:t>
            </w:r>
            <w:r>
              <w:rPr>
                <w:rFonts w:hint="eastAsia"/>
                <w:color w:val="auto"/>
                <w:szCs w:val="24"/>
              </w:rPr>
              <w:t>，</w:t>
            </w:r>
            <w:r>
              <w:rPr>
                <w:color w:val="auto"/>
                <w:szCs w:val="24"/>
              </w:rPr>
              <w:t>若无地下水，则将钻孔深度延伸至不透水层</w:t>
            </w:r>
            <w:r>
              <w:rPr>
                <w:rFonts w:hint="eastAsia"/>
                <w:color w:val="auto"/>
                <w:szCs w:val="24"/>
              </w:rPr>
              <w:t>，根据沟道地层岩性，在矸石场上游至范新庄水库区间设</w:t>
            </w:r>
            <w:r>
              <w:rPr>
                <w:color w:val="auto"/>
                <w:szCs w:val="24"/>
              </w:rPr>
              <w:t>1</w:t>
            </w:r>
            <w:r>
              <w:rPr>
                <w:rFonts w:hint="eastAsia"/>
                <w:color w:val="auto"/>
                <w:szCs w:val="24"/>
              </w:rPr>
              <w:t>座</w:t>
            </w:r>
            <w:r>
              <w:rPr>
                <w:color w:val="auto"/>
                <w:szCs w:val="24"/>
              </w:rPr>
              <w:t>3.5m</w:t>
            </w:r>
            <w:r>
              <w:rPr>
                <w:rFonts w:hint="eastAsia"/>
                <w:color w:val="auto"/>
                <w:szCs w:val="24"/>
              </w:rPr>
              <w:t>深地下水监测井（地下水位埋深约</w:t>
            </w:r>
            <w:r>
              <w:rPr>
                <w:color w:val="auto"/>
                <w:szCs w:val="24"/>
              </w:rPr>
              <w:t>1.2m</w:t>
            </w:r>
            <w:r>
              <w:rPr>
                <w:rFonts w:hint="eastAsia"/>
                <w:color w:val="auto"/>
                <w:szCs w:val="24"/>
              </w:rPr>
              <w:t>），在矸石场下游设</w:t>
            </w:r>
            <w:r>
              <w:rPr>
                <w:color w:val="auto"/>
                <w:szCs w:val="24"/>
              </w:rPr>
              <w:t>1</w:t>
            </w:r>
            <w:r>
              <w:rPr>
                <w:rFonts w:hint="eastAsia"/>
                <w:color w:val="auto"/>
                <w:szCs w:val="24"/>
              </w:rPr>
              <w:t>座</w:t>
            </w:r>
            <w:r>
              <w:rPr>
                <w:color w:val="auto"/>
                <w:szCs w:val="24"/>
              </w:rPr>
              <w:t>4.5m</w:t>
            </w:r>
            <w:r>
              <w:rPr>
                <w:rFonts w:hint="eastAsia"/>
                <w:color w:val="auto"/>
                <w:szCs w:val="24"/>
              </w:rPr>
              <w:t>深地下水监测井（地下水位埋深约</w:t>
            </w:r>
            <w:r>
              <w:rPr>
                <w:color w:val="auto"/>
                <w:szCs w:val="24"/>
              </w:rPr>
              <w:t>2.4m</w:t>
            </w:r>
            <w:r>
              <w:rPr>
                <w:rFonts w:hint="eastAsia"/>
                <w:color w:val="auto"/>
                <w:szCs w:val="24"/>
              </w:rPr>
              <w:t>）</w:t>
            </w:r>
            <w:r>
              <w:rPr>
                <w:color w:val="auto"/>
                <w:szCs w:val="24"/>
              </w:rPr>
              <w:t>。</w:t>
            </w:r>
            <w:r>
              <w:rPr>
                <w:rFonts w:hint="eastAsia"/>
                <w:color w:val="auto"/>
              </w:rPr>
              <w:t>监测井</w:t>
            </w:r>
            <w:r>
              <w:rPr>
                <w:color w:val="auto"/>
              </w:rPr>
              <w:t>结构见</w:t>
            </w:r>
            <w:r>
              <w:rPr>
                <w:rFonts w:hint="eastAsia"/>
                <w:color w:val="auto"/>
              </w:rPr>
              <w:t>图2-</w:t>
            </w:r>
            <w:r>
              <w:rPr>
                <w:color w:val="auto"/>
              </w:rPr>
              <w:t>8。</w:t>
            </w:r>
          </w:p>
          <w:p>
            <w:pPr>
              <w:pStyle w:val="41"/>
              <w:widowControl w:val="0"/>
              <w:ind w:firstLine="480"/>
              <w:rPr>
                <w:color w:val="auto"/>
              </w:rPr>
            </w:pPr>
          </w:p>
          <w:p>
            <w:pPr>
              <w:pStyle w:val="41"/>
              <w:widowControl w:val="0"/>
              <w:ind w:firstLine="480"/>
              <w:rPr>
                <w:color w:val="auto"/>
              </w:rPr>
            </w:pPr>
          </w:p>
          <w:p>
            <w:pPr>
              <w:pStyle w:val="41"/>
              <w:widowControl w:val="0"/>
              <w:ind w:firstLine="480"/>
              <w:rPr>
                <w:color w:val="auto"/>
              </w:rPr>
            </w:pPr>
          </w:p>
          <w:p>
            <w:pPr>
              <w:pStyle w:val="41"/>
              <w:widowControl w:val="0"/>
              <w:ind w:firstLine="480"/>
              <w:rPr>
                <w:color w:val="auto"/>
              </w:rPr>
            </w:pPr>
          </w:p>
          <w:p>
            <w:pPr>
              <w:pStyle w:val="41"/>
              <w:widowControl w:val="0"/>
              <w:ind w:firstLine="480"/>
              <w:rPr>
                <w:color w:val="auto"/>
              </w:rPr>
            </w:pPr>
          </w:p>
          <w:p>
            <w:pPr>
              <w:pStyle w:val="41"/>
              <w:widowControl w:val="0"/>
              <w:ind w:firstLine="480"/>
              <w:rPr>
                <w:color w:val="auto"/>
              </w:rPr>
            </w:pPr>
          </w:p>
          <w:p>
            <w:pPr>
              <w:pStyle w:val="41"/>
              <w:ind w:firstLine="0" w:firstLineChars="0"/>
              <w:jc w:val="center"/>
              <w:rPr>
                <w:b/>
                <w:color w:val="auto"/>
              </w:rPr>
            </w:pPr>
            <w:r>
              <w:rPr>
                <w:b/>
                <w:color w:val="auto"/>
              </w:rPr>
              <w:drawing>
                <wp:inline distT="0" distB="0" distL="114300" distR="114300">
                  <wp:extent cx="2597785" cy="4505960"/>
                  <wp:effectExtent l="0" t="0" r="12065" b="8890"/>
                  <wp:docPr id="96" name="图片 77" descr="Screenshot_2021091614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7" descr="Screenshot_20210916145409"/>
                          <pic:cNvPicPr>
                            <a:picLocks noChangeAspect="1"/>
                          </pic:cNvPicPr>
                        </pic:nvPicPr>
                        <pic:blipFill>
                          <a:blip r:embed="rId35"/>
                          <a:srcRect t="1408" b="3420"/>
                          <a:stretch>
                            <a:fillRect/>
                          </a:stretch>
                        </pic:blipFill>
                        <pic:spPr>
                          <a:xfrm>
                            <a:off x="0" y="0"/>
                            <a:ext cx="2597785" cy="4505960"/>
                          </a:xfrm>
                          <a:prstGeom prst="rect">
                            <a:avLst/>
                          </a:prstGeom>
                          <a:noFill/>
                          <a:ln>
                            <a:noFill/>
                          </a:ln>
                        </pic:spPr>
                      </pic:pic>
                    </a:graphicData>
                  </a:graphic>
                </wp:inline>
              </w:drawing>
            </w:r>
          </w:p>
          <w:p>
            <w:pPr>
              <w:pStyle w:val="6"/>
              <w:adjustRightInd w:val="0"/>
              <w:snapToGrid w:val="0"/>
              <w:spacing w:before="0" w:after="0" w:line="360" w:lineRule="auto"/>
              <w:ind w:firstLine="0" w:firstLineChars="0"/>
              <w:jc w:val="center"/>
              <w:rPr>
                <w:rFonts w:ascii="Times New Roman" w:hAnsi="Times New Roman" w:eastAsia="宋体"/>
                <w:bCs/>
                <w:color w:val="auto"/>
                <w:sz w:val="24"/>
              </w:rPr>
            </w:pPr>
            <w:r>
              <w:rPr>
                <w:rFonts w:hint="eastAsia" w:ascii="Times New Roman" w:hAnsi="Times New Roman" w:eastAsia="宋体"/>
                <w:b w:val="0"/>
                <w:color w:val="auto"/>
                <w:sz w:val="24"/>
              </w:rPr>
              <w:t>图2-</w:t>
            </w:r>
            <w:r>
              <w:rPr>
                <w:rFonts w:ascii="Times New Roman" w:hAnsi="Times New Roman" w:eastAsia="宋体"/>
                <w:b w:val="0"/>
                <w:color w:val="auto"/>
                <w:sz w:val="24"/>
              </w:rPr>
              <w:t>8</w:t>
            </w:r>
            <w:r>
              <w:rPr>
                <w:rFonts w:hint="eastAsia" w:ascii="Times New Roman" w:hAnsi="Times New Roman" w:eastAsia="宋体"/>
                <w:b w:val="0"/>
                <w:color w:val="auto"/>
                <w:sz w:val="24"/>
              </w:rPr>
              <w:t xml:space="preserve">       </w:t>
            </w:r>
            <w:r>
              <w:rPr>
                <w:rFonts w:hint="eastAsia" w:ascii="Times New Roman" w:hAnsi="Times New Roman" w:eastAsia="宋体"/>
                <w:bCs/>
                <w:color w:val="auto"/>
                <w:sz w:val="24"/>
              </w:rPr>
              <w:t>跟踪监测井设计示意图</w:t>
            </w:r>
          </w:p>
          <w:p>
            <w:pPr>
              <w:pStyle w:val="6"/>
              <w:adjustRightInd w:val="0"/>
              <w:snapToGrid w:val="0"/>
              <w:spacing w:before="0" w:after="0"/>
              <w:ind w:firstLine="0" w:firstLineChars="0"/>
              <w:rPr>
                <w:rFonts w:ascii="Times New Roman" w:hAnsi="Times New Roman" w:eastAsia="宋体"/>
                <w:bCs/>
                <w:color w:val="auto"/>
                <w:sz w:val="24"/>
              </w:rPr>
            </w:pPr>
            <w:bookmarkStart w:id="17" w:name="_Toc82758620"/>
            <w:bookmarkStart w:id="18" w:name="_Toc30283"/>
            <w:r>
              <w:rPr>
                <w:rFonts w:ascii="Times New Roman" w:hAnsi="Times New Roman" w:eastAsia="宋体"/>
                <w:bCs/>
                <w:color w:val="auto"/>
                <w:sz w:val="24"/>
              </w:rPr>
              <w:t>2.2.4</w:t>
            </w:r>
            <w:r>
              <w:rPr>
                <w:rFonts w:hint="eastAsia" w:ascii="Times New Roman" w:hAnsi="Times New Roman" w:eastAsia="宋体"/>
                <w:bCs/>
                <w:color w:val="auto"/>
                <w:sz w:val="24"/>
              </w:rPr>
              <w:t>.</w:t>
            </w:r>
            <w:r>
              <w:rPr>
                <w:rFonts w:ascii="Times New Roman" w:hAnsi="Times New Roman" w:eastAsia="宋体"/>
                <w:bCs/>
                <w:color w:val="auto"/>
                <w:sz w:val="24"/>
              </w:rPr>
              <w:t>7</w:t>
            </w:r>
            <w:r>
              <w:rPr>
                <w:rFonts w:hint="eastAsia" w:ascii="Times New Roman" w:hAnsi="Times New Roman" w:eastAsia="宋体"/>
                <w:bCs/>
                <w:color w:val="auto"/>
                <w:sz w:val="24"/>
              </w:rPr>
              <w:t>绿化工程</w:t>
            </w:r>
            <w:bookmarkEnd w:id="17"/>
            <w:bookmarkEnd w:id="18"/>
          </w:p>
          <w:p>
            <w:pPr>
              <w:spacing w:line="360" w:lineRule="auto"/>
              <w:ind w:firstLine="480"/>
              <w:rPr>
                <w:bCs/>
                <w:color w:val="auto"/>
                <w:sz w:val="24"/>
                <w:szCs w:val="32"/>
              </w:rPr>
            </w:pPr>
            <w:r>
              <w:rPr>
                <w:rFonts w:hint="eastAsia"/>
                <w:bCs/>
                <w:color w:val="auto"/>
                <w:sz w:val="24"/>
                <w:szCs w:val="32"/>
              </w:rPr>
              <w:t>现状矸石场表层覆盖黄土厚1-2m，本次设计对矸石场表层沿排洪渠方向进行带坡平整，坡度为1/300-1/500，平整后复垦种植苜蓿，播种面积2.5hm</w:t>
            </w:r>
            <w:r>
              <w:rPr>
                <w:rFonts w:hint="eastAsia"/>
                <w:bCs/>
                <w:color w:val="auto"/>
                <w:sz w:val="24"/>
                <w:szCs w:val="32"/>
                <w:vertAlign w:val="superscript"/>
              </w:rPr>
              <w:t>2</w:t>
            </w:r>
            <w:r>
              <w:rPr>
                <w:rFonts w:hint="eastAsia"/>
                <w:bCs/>
                <w:color w:val="auto"/>
                <w:sz w:val="24"/>
                <w:szCs w:val="32"/>
              </w:rPr>
              <w:t>。苜蓿选择在4-5月份种植，播种方法采用散播，播种宜浅，首先对矸石场表层10cm厚土层进行松土，然后撒草籽，撒完草籽后进行翻耕，草籽覆土厚2-3厘米，播种量在20kg/亩，播种后进行拉水浇灌，采用微喷灌，禁止用水管直冲，并要保证草种生育期在干旱月份的洒水，设计一年灌水5次，保证成活率在90%以上，不满足成活率的需进行补种。</w:t>
            </w:r>
          </w:p>
          <w:p>
            <w:pPr>
              <w:autoSpaceDE w:val="0"/>
              <w:autoSpaceDN w:val="0"/>
              <w:adjustRightInd w:val="0"/>
              <w:snapToGrid w:val="0"/>
              <w:spacing w:line="360" w:lineRule="auto"/>
              <w:outlineLvl w:val="1"/>
              <w:rPr>
                <w:b/>
                <w:bCs/>
                <w:color w:val="auto"/>
                <w:kern w:val="0"/>
                <w:sz w:val="24"/>
              </w:rPr>
            </w:pPr>
            <w:r>
              <w:rPr>
                <w:rFonts w:hint="eastAsia"/>
                <w:b/>
                <w:bCs/>
                <w:color w:val="auto"/>
                <w:kern w:val="0"/>
                <w:sz w:val="24"/>
              </w:rPr>
              <w:t>2.</w:t>
            </w:r>
            <w:r>
              <w:rPr>
                <w:b/>
                <w:bCs/>
                <w:color w:val="auto"/>
                <w:kern w:val="0"/>
                <w:sz w:val="24"/>
              </w:rPr>
              <w:t>2.5</w:t>
            </w:r>
            <w:r>
              <w:rPr>
                <w:rFonts w:hint="eastAsia"/>
                <w:b/>
                <w:bCs/>
                <w:color w:val="auto"/>
                <w:kern w:val="0"/>
                <w:sz w:val="24"/>
              </w:rPr>
              <w:t>行洪设施暴雨洪水量计算</w:t>
            </w:r>
          </w:p>
          <w:p>
            <w:pPr>
              <w:adjustRightInd w:val="0"/>
              <w:snapToGrid w:val="0"/>
              <w:spacing w:line="360" w:lineRule="auto"/>
              <w:jc w:val="left"/>
              <w:rPr>
                <w:b/>
                <w:color w:val="auto"/>
                <w:kern w:val="0"/>
                <w:sz w:val="24"/>
                <w:lang w:bidi="ar"/>
              </w:rPr>
            </w:pPr>
            <w:r>
              <w:rPr>
                <w:rFonts w:hint="eastAsia"/>
                <w:b/>
                <w:bCs/>
                <w:color w:val="auto"/>
                <w:kern w:val="0"/>
                <w:sz w:val="24"/>
              </w:rPr>
              <w:t>2.</w:t>
            </w:r>
            <w:r>
              <w:rPr>
                <w:b/>
                <w:bCs/>
                <w:color w:val="auto"/>
                <w:kern w:val="0"/>
                <w:sz w:val="24"/>
              </w:rPr>
              <w:t>2.5</w:t>
            </w:r>
            <w:r>
              <w:rPr>
                <w:rFonts w:hint="eastAsia"/>
                <w:b/>
                <w:color w:val="auto"/>
                <w:kern w:val="0"/>
                <w:sz w:val="24"/>
                <w:lang w:bidi="ar"/>
              </w:rPr>
              <w:t>.1暴雨洪水特性</w:t>
            </w:r>
          </w:p>
          <w:p>
            <w:pPr>
              <w:adjustRightInd w:val="0"/>
              <w:snapToGrid w:val="0"/>
              <w:spacing w:line="360" w:lineRule="auto"/>
              <w:ind w:firstLine="482" w:firstLineChars="200"/>
              <w:jc w:val="left"/>
              <w:rPr>
                <w:b/>
                <w:color w:val="auto"/>
                <w:kern w:val="0"/>
                <w:sz w:val="24"/>
                <w:lang w:bidi="ar"/>
              </w:rPr>
            </w:pPr>
            <w:bookmarkStart w:id="19" w:name="_Toc74202752"/>
            <w:bookmarkStart w:id="20" w:name="_Toc73950640"/>
            <w:bookmarkStart w:id="21" w:name="_Toc11393"/>
            <w:bookmarkStart w:id="22" w:name="_Toc73950357"/>
            <w:r>
              <w:rPr>
                <w:b/>
                <w:color w:val="auto"/>
                <w:kern w:val="0"/>
                <w:sz w:val="24"/>
                <w:lang w:bidi="ar"/>
              </w:rPr>
              <w:fldChar w:fldCharType="begin"/>
            </w:r>
            <w:r>
              <w:rPr>
                <w:b/>
                <w:color w:val="auto"/>
                <w:kern w:val="0"/>
                <w:sz w:val="24"/>
                <w:lang w:bidi="ar"/>
              </w:rPr>
              <w:instrText xml:space="preserve"> = 1 \* GB2 \* MERGEFORMAT </w:instrText>
            </w:r>
            <w:r>
              <w:rPr>
                <w:b/>
                <w:color w:val="auto"/>
                <w:kern w:val="0"/>
                <w:sz w:val="24"/>
                <w:lang w:bidi="ar"/>
              </w:rPr>
              <w:fldChar w:fldCharType="separate"/>
            </w:r>
            <w:r>
              <w:rPr>
                <w:b/>
                <w:color w:val="auto"/>
                <w:kern w:val="0"/>
                <w:sz w:val="24"/>
                <w:lang w:bidi="ar"/>
              </w:rPr>
              <w:t>⑴</w:t>
            </w:r>
            <w:r>
              <w:rPr>
                <w:b/>
                <w:color w:val="auto"/>
                <w:kern w:val="0"/>
                <w:sz w:val="24"/>
                <w:lang w:bidi="ar"/>
              </w:rPr>
              <w:fldChar w:fldCharType="end"/>
            </w:r>
            <w:r>
              <w:rPr>
                <w:b/>
                <w:color w:val="auto"/>
                <w:kern w:val="0"/>
                <w:sz w:val="24"/>
                <w:lang w:bidi="ar"/>
              </w:rPr>
              <w:t>暴雨</w:t>
            </w:r>
            <w:bookmarkEnd w:id="19"/>
            <w:bookmarkEnd w:id="20"/>
            <w:bookmarkEnd w:id="21"/>
            <w:bookmarkEnd w:id="22"/>
            <w:r>
              <w:rPr>
                <w:rFonts w:hint="eastAsia"/>
                <w:b/>
                <w:color w:val="auto"/>
                <w:kern w:val="0"/>
                <w:sz w:val="24"/>
                <w:lang w:bidi="ar"/>
              </w:rPr>
              <w:t>特性</w:t>
            </w:r>
          </w:p>
          <w:p>
            <w:pPr>
              <w:pStyle w:val="41"/>
              <w:widowControl w:val="0"/>
              <w:ind w:firstLine="480"/>
              <w:rPr>
                <w:color w:val="auto"/>
              </w:rPr>
            </w:pPr>
            <w:bookmarkStart w:id="23" w:name="_Toc74202753"/>
            <w:bookmarkStart w:id="24" w:name="_Toc197649865"/>
            <w:bookmarkStart w:id="25" w:name="_Toc222109014"/>
            <w:r>
              <w:rPr>
                <w:rFonts w:hint="eastAsia"/>
                <w:color w:val="auto"/>
              </w:rPr>
              <w:t>暴雨一般集中在每年的6～9月，4、5、10月偶尔有之，主要集中在7、8月，占暴雨发生次数的68％。能形成大洪水的暴雨一类是笼罩面积小、历时短、主雨t≤1h，降雨强度i＞1mm/min，有时H日＜50mm，主雨集中在0.5h内，仍能产生峰高量大的洪水，另一类暴雨笼罩面积大，历时长t＞12h，强度较小，产生的峰不高，但量大，历时长，这类雨较少。</w:t>
            </w:r>
          </w:p>
          <w:p>
            <w:pPr>
              <w:adjustRightInd w:val="0"/>
              <w:snapToGrid w:val="0"/>
              <w:spacing w:line="360" w:lineRule="auto"/>
              <w:ind w:firstLine="482" w:firstLineChars="200"/>
              <w:jc w:val="left"/>
              <w:rPr>
                <w:b/>
                <w:color w:val="auto"/>
                <w:kern w:val="0"/>
                <w:sz w:val="24"/>
                <w:lang w:bidi="ar"/>
              </w:rPr>
            </w:pPr>
            <w:r>
              <w:rPr>
                <w:b/>
                <w:color w:val="auto"/>
                <w:kern w:val="0"/>
                <w:sz w:val="24"/>
                <w:lang w:bidi="ar"/>
              </w:rPr>
              <w:fldChar w:fldCharType="begin"/>
            </w:r>
            <w:r>
              <w:rPr>
                <w:b/>
                <w:color w:val="auto"/>
                <w:kern w:val="0"/>
                <w:sz w:val="24"/>
                <w:lang w:bidi="ar"/>
              </w:rPr>
              <w:instrText xml:space="preserve"> = 2 \* GB2 \* MERGEFORMAT </w:instrText>
            </w:r>
            <w:r>
              <w:rPr>
                <w:b/>
                <w:color w:val="auto"/>
                <w:kern w:val="0"/>
                <w:sz w:val="24"/>
                <w:lang w:bidi="ar"/>
              </w:rPr>
              <w:fldChar w:fldCharType="separate"/>
            </w:r>
            <w:r>
              <w:rPr>
                <w:b/>
                <w:color w:val="auto"/>
                <w:kern w:val="0"/>
                <w:sz w:val="24"/>
                <w:lang w:bidi="ar"/>
              </w:rPr>
              <w:t>⑵</w:t>
            </w:r>
            <w:r>
              <w:rPr>
                <w:b/>
                <w:color w:val="auto"/>
                <w:kern w:val="0"/>
                <w:sz w:val="24"/>
                <w:lang w:bidi="ar"/>
              </w:rPr>
              <w:fldChar w:fldCharType="end"/>
            </w:r>
            <w:r>
              <w:rPr>
                <w:b/>
                <w:color w:val="auto"/>
                <w:kern w:val="0"/>
                <w:sz w:val="24"/>
                <w:lang w:bidi="ar"/>
              </w:rPr>
              <w:t>洪水</w:t>
            </w:r>
            <w:r>
              <w:rPr>
                <w:rFonts w:hint="eastAsia"/>
                <w:b/>
                <w:color w:val="auto"/>
                <w:kern w:val="0"/>
                <w:sz w:val="24"/>
                <w:lang w:bidi="ar"/>
              </w:rPr>
              <w:t>特性</w:t>
            </w:r>
          </w:p>
          <w:p>
            <w:pPr>
              <w:pStyle w:val="41"/>
              <w:widowControl w:val="0"/>
              <w:ind w:firstLine="480"/>
              <w:rPr>
                <w:color w:val="auto"/>
              </w:rPr>
            </w:pPr>
            <w:r>
              <w:rPr>
                <w:rFonts w:hint="eastAsia"/>
                <w:color w:val="auto"/>
              </w:rPr>
              <w:t>洪水同暴雨一样发生在汛期6～9月，以7、8月最多， 5、10月偶尔有之。因该流域为半干旱黄土丘陵沟壑区，洪水的产流方式为超渗产流。洪水的形状受暴雨的影响多为尖瘦形，洪峰陡涨陡落，一般不超过1天。</w:t>
            </w:r>
          </w:p>
          <w:p>
            <w:pPr>
              <w:adjustRightInd w:val="0"/>
              <w:snapToGrid w:val="0"/>
              <w:spacing w:line="360" w:lineRule="auto"/>
              <w:ind w:firstLine="482" w:firstLineChars="200"/>
              <w:jc w:val="left"/>
              <w:rPr>
                <w:b/>
                <w:color w:val="auto"/>
                <w:kern w:val="0"/>
                <w:sz w:val="24"/>
                <w:lang w:bidi="ar"/>
              </w:rPr>
            </w:pPr>
            <w:r>
              <w:rPr>
                <w:rFonts w:hint="eastAsia"/>
                <w:b/>
                <w:color w:val="auto"/>
                <w:kern w:val="0"/>
                <w:sz w:val="24"/>
                <w:lang w:bidi="ar"/>
              </w:rPr>
              <w:fldChar w:fldCharType="begin"/>
            </w:r>
            <w:r>
              <w:rPr>
                <w:rFonts w:hint="eastAsia"/>
                <w:b/>
                <w:color w:val="auto"/>
                <w:kern w:val="0"/>
                <w:sz w:val="24"/>
                <w:lang w:bidi="ar"/>
              </w:rPr>
              <w:instrText xml:space="preserve"> = 3 \* GB2 \* MERGEFORMAT </w:instrText>
            </w:r>
            <w:r>
              <w:rPr>
                <w:rFonts w:hint="eastAsia"/>
                <w:b/>
                <w:color w:val="auto"/>
                <w:kern w:val="0"/>
                <w:sz w:val="24"/>
                <w:lang w:bidi="ar"/>
              </w:rPr>
              <w:fldChar w:fldCharType="separate"/>
            </w:r>
            <w:r>
              <w:rPr>
                <w:b/>
                <w:color w:val="auto"/>
                <w:kern w:val="0"/>
                <w:sz w:val="24"/>
                <w:lang w:bidi="ar"/>
              </w:rPr>
              <w:t>⑶</w:t>
            </w:r>
            <w:r>
              <w:rPr>
                <w:rFonts w:hint="eastAsia"/>
                <w:b/>
                <w:color w:val="auto"/>
                <w:kern w:val="0"/>
                <w:sz w:val="24"/>
                <w:lang w:bidi="ar"/>
              </w:rPr>
              <w:fldChar w:fldCharType="end"/>
            </w:r>
            <w:bookmarkStart w:id="26" w:name="_Toc20493"/>
            <w:bookmarkStart w:id="27" w:name="_Toc82758569"/>
            <w:r>
              <w:rPr>
                <w:b/>
                <w:color w:val="auto"/>
                <w:kern w:val="0"/>
                <w:sz w:val="24"/>
                <w:lang w:bidi="ar"/>
              </w:rPr>
              <w:t>历史暴雨洪水调查</w:t>
            </w:r>
            <w:bookmarkEnd w:id="26"/>
            <w:bookmarkEnd w:id="27"/>
          </w:p>
          <w:p>
            <w:pPr>
              <w:spacing w:line="360" w:lineRule="auto"/>
              <w:ind w:firstLine="480"/>
              <w:rPr>
                <w:bCs/>
                <w:color w:val="auto"/>
                <w:sz w:val="24"/>
                <w:szCs w:val="32"/>
              </w:rPr>
            </w:pPr>
            <w:r>
              <w:rPr>
                <w:rFonts w:hint="eastAsia"/>
                <w:bCs/>
                <w:color w:val="auto"/>
                <w:sz w:val="24"/>
                <w:szCs w:val="32"/>
              </w:rPr>
              <w:t>王洼沟是宁南山区暴雨高值区，王洼雨量站30分钟最大暴雨量达30.2mm，1h最大暴雨量达40.4mm。宁夏水文局在该项目下游王洼沟进行过洪水调查，调查到最大洪峰流量982m</w:t>
            </w:r>
            <w:r>
              <w:rPr>
                <w:rFonts w:hint="eastAsia"/>
                <w:bCs/>
                <w:color w:val="auto"/>
                <w:sz w:val="24"/>
                <w:szCs w:val="32"/>
                <w:vertAlign w:val="superscript"/>
              </w:rPr>
              <w:t>3</w:t>
            </w:r>
            <w:r>
              <w:rPr>
                <w:rFonts w:hint="eastAsia"/>
                <w:bCs/>
                <w:color w:val="auto"/>
                <w:sz w:val="24"/>
                <w:szCs w:val="32"/>
              </w:rPr>
              <w:t>/s（1955年）；次大638 m3/s（1970年）；第三大547 m</w:t>
            </w:r>
            <w:r>
              <w:rPr>
                <w:rFonts w:hint="eastAsia"/>
                <w:bCs/>
                <w:color w:val="auto"/>
                <w:sz w:val="24"/>
                <w:szCs w:val="32"/>
                <w:vertAlign w:val="superscript"/>
              </w:rPr>
              <w:t>3</w:t>
            </w:r>
            <w:r>
              <w:rPr>
                <w:rFonts w:hint="eastAsia"/>
                <w:bCs/>
                <w:color w:val="auto"/>
                <w:sz w:val="24"/>
                <w:szCs w:val="32"/>
              </w:rPr>
              <w:t>/s （1996年7月27日），1h降雨量19.3~30mm，24h降雨量95.5~156.3mm，对应下游黄家河站实测到洪峰流量407m</w:t>
            </w:r>
            <w:r>
              <w:rPr>
                <w:rFonts w:hint="eastAsia"/>
                <w:bCs/>
                <w:color w:val="auto"/>
                <w:sz w:val="24"/>
                <w:szCs w:val="32"/>
                <w:vertAlign w:val="superscript"/>
              </w:rPr>
              <w:t>3</w:t>
            </w:r>
            <w:r>
              <w:rPr>
                <w:rFonts w:hint="eastAsia"/>
                <w:bCs/>
                <w:color w:val="auto"/>
                <w:sz w:val="24"/>
                <w:szCs w:val="32"/>
              </w:rPr>
              <w:t>/s，暴雨集中在王洼沟一带，由于沟道较深，居民都在高处居住，没有造成人员伤害。调查成果见表</w:t>
            </w:r>
            <w:r>
              <w:rPr>
                <w:bCs/>
                <w:color w:val="auto"/>
                <w:sz w:val="24"/>
                <w:szCs w:val="32"/>
              </w:rPr>
              <w:t>2</w:t>
            </w:r>
            <w:r>
              <w:rPr>
                <w:rFonts w:hint="eastAsia"/>
                <w:bCs/>
                <w:color w:val="auto"/>
                <w:sz w:val="24"/>
                <w:szCs w:val="32"/>
              </w:rPr>
              <w:t>-</w:t>
            </w:r>
            <w:r>
              <w:rPr>
                <w:bCs/>
                <w:color w:val="auto"/>
                <w:sz w:val="24"/>
                <w:szCs w:val="32"/>
              </w:rPr>
              <w:t>8</w:t>
            </w:r>
            <w:r>
              <w:rPr>
                <w:rFonts w:hint="eastAsia"/>
                <w:bCs/>
                <w:color w:val="auto"/>
                <w:sz w:val="24"/>
                <w:szCs w:val="32"/>
              </w:rPr>
              <w:t>。</w:t>
            </w:r>
          </w:p>
          <w:p>
            <w:pPr>
              <w:pStyle w:val="7"/>
              <w:spacing w:line="240" w:lineRule="auto"/>
              <w:ind w:firstLine="480"/>
              <w:rPr>
                <w:b/>
                <w:bCs/>
                <w:color w:val="auto"/>
                <w:kern w:val="0"/>
                <w:szCs w:val="24"/>
              </w:rPr>
            </w:pPr>
            <w:r>
              <w:rPr>
                <w:rFonts w:hint="eastAsia"/>
                <w:color w:val="auto"/>
                <w:kern w:val="0"/>
                <w:szCs w:val="24"/>
              </w:rPr>
              <w:t>表</w:t>
            </w:r>
            <w:r>
              <w:rPr>
                <w:color w:val="auto"/>
                <w:kern w:val="0"/>
                <w:szCs w:val="24"/>
              </w:rPr>
              <w:t>2</w:t>
            </w:r>
            <w:r>
              <w:rPr>
                <w:rFonts w:hint="eastAsia"/>
                <w:color w:val="auto"/>
                <w:kern w:val="0"/>
                <w:szCs w:val="24"/>
              </w:rPr>
              <w:t>-</w:t>
            </w:r>
            <w:r>
              <w:rPr>
                <w:color w:val="auto"/>
                <w:kern w:val="0"/>
                <w:szCs w:val="24"/>
              </w:rPr>
              <w:t>8</w:t>
            </w:r>
            <w:r>
              <w:rPr>
                <w:rFonts w:hint="eastAsia"/>
                <w:color w:val="auto"/>
                <w:kern w:val="0"/>
                <w:szCs w:val="24"/>
              </w:rPr>
              <w:t xml:space="preserve">               </w:t>
            </w:r>
            <w:r>
              <w:rPr>
                <w:rFonts w:hint="eastAsia"/>
                <w:b/>
                <w:bCs/>
                <w:color w:val="auto"/>
                <w:kern w:val="0"/>
                <w:szCs w:val="24"/>
              </w:rPr>
              <w:t xml:space="preserve"> 历史洪水调查统计表</w:t>
            </w:r>
          </w:p>
          <w:tbl>
            <w:tblPr>
              <w:tblStyle w:val="19"/>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732"/>
              <w:gridCol w:w="986"/>
              <w:gridCol w:w="715"/>
              <w:gridCol w:w="715"/>
              <w:gridCol w:w="715"/>
              <w:gridCol w:w="715"/>
              <w:gridCol w:w="715"/>
              <w:gridCol w:w="715"/>
              <w:gridCol w:w="715"/>
              <w:gridCol w:w="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tblHeader/>
              </w:trPr>
              <w:tc>
                <w:tcPr>
                  <w:tcW w:w="554" w:type="pct"/>
                  <w:tcBorders>
                    <w:tl2br w:val="nil"/>
                    <w:tr2bl w:val="nil"/>
                  </w:tcBorders>
                  <w:vAlign w:val="center"/>
                </w:tcPr>
                <w:p>
                  <w:pPr>
                    <w:ind w:left="-105" w:leftChars="-50" w:right="-105" w:rightChars="-50"/>
                    <w:jc w:val="center"/>
                    <w:rPr>
                      <w:b/>
                      <w:bCs/>
                      <w:color w:val="auto"/>
                      <w:sz w:val="18"/>
                      <w:szCs w:val="18"/>
                    </w:rPr>
                  </w:pPr>
                  <w:r>
                    <w:rPr>
                      <w:b/>
                      <w:bCs/>
                      <w:color w:val="auto"/>
                      <w:sz w:val="18"/>
                      <w:szCs w:val="18"/>
                    </w:rPr>
                    <w:t>调查</w:t>
                  </w:r>
                </w:p>
                <w:p>
                  <w:pPr>
                    <w:ind w:left="-105" w:leftChars="-50" w:right="-105" w:rightChars="-50"/>
                    <w:jc w:val="center"/>
                    <w:rPr>
                      <w:b/>
                      <w:bCs/>
                      <w:color w:val="auto"/>
                      <w:sz w:val="18"/>
                      <w:szCs w:val="18"/>
                    </w:rPr>
                  </w:pPr>
                  <w:r>
                    <w:rPr>
                      <w:b/>
                      <w:bCs/>
                      <w:color w:val="auto"/>
                      <w:sz w:val="18"/>
                      <w:szCs w:val="18"/>
                    </w:rPr>
                    <w:t>地点</w:t>
                  </w:r>
                </w:p>
              </w:tc>
              <w:tc>
                <w:tcPr>
                  <w:tcW w:w="438" w:type="pct"/>
                  <w:tcBorders>
                    <w:tl2br w:val="nil"/>
                    <w:tr2bl w:val="nil"/>
                  </w:tcBorders>
                  <w:vAlign w:val="center"/>
                </w:tcPr>
                <w:p>
                  <w:pPr>
                    <w:ind w:left="-105" w:leftChars="-50" w:right="-105" w:rightChars="-50"/>
                    <w:jc w:val="center"/>
                    <w:rPr>
                      <w:b/>
                      <w:bCs/>
                      <w:color w:val="auto"/>
                      <w:sz w:val="18"/>
                      <w:szCs w:val="18"/>
                    </w:rPr>
                  </w:pPr>
                  <w:r>
                    <w:rPr>
                      <w:b/>
                      <w:bCs/>
                      <w:color w:val="auto"/>
                      <w:sz w:val="18"/>
                      <w:szCs w:val="18"/>
                    </w:rPr>
                    <w:t>集水</w:t>
                  </w:r>
                </w:p>
                <w:p>
                  <w:pPr>
                    <w:ind w:left="-105" w:leftChars="-50" w:right="-105" w:rightChars="-50"/>
                    <w:jc w:val="center"/>
                    <w:rPr>
                      <w:b/>
                      <w:bCs/>
                      <w:color w:val="auto"/>
                      <w:sz w:val="18"/>
                      <w:szCs w:val="18"/>
                    </w:rPr>
                  </w:pPr>
                  <w:r>
                    <w:rPr>
                      <w:b/>
                      <w:bCs/>
                      <w:color w:val="auto"/>
                      <w:sz w:val="18"/>
                      <w:szCs w:val="18"/>
                    </w:rPr>
                    <w:t>面积</w:t>
                  </w:r>
                </w:p>
                <w:p>
                  <w:pPr>
                    <w:ind w:left="-105" w:leftChars="-50" w:right="-105" w:rightChars="-50"/>
                    <w:jc w:val="center"/>
                    <w:rPr>
                      <w:b/>
                      <w:bCs/>
                      <w:color w:val="auto"/>
                      <w:sz w:val="18"/>
                      <w:szCs w:val="18"/>
                    </w:rPr>
                  </w:pPr>
                  <w:r>
                    <w:rPr>
                      <w:b/>
                      <w:bCs/>
                      <w:color w:val="auto"/>
                      <w:sz w:val="18"/>
                      <w:szCs w:val="18"/>
                    </w:rPr>
                    <w:t>（km</w:t>
                  </w:r>
                  <w:r>
                    <w:rPr>
                      <w:b/>
                      <w:bCs/>
                      <w:color w:val="auto"/>
                      <w:sz w:val="18"/>
                      <w:szCs w:val="18"/>
                      <w:vertAlign w:val="superscript"/>
                    </w:rPr>
                    <w:t>2</w:t>
                  </w:r>
                  <w:r>
                    <w:rPr>
                      <w:b/>
                      <w:bCs/>
                      <w:color w:val="auto"/>
                      <w:sz w:val="18"/>
                      <w:szCs w:val="18"/>
                    </w:rPr>
                    <w:t>）</w:t>
                  </w:r>
                </w:p>
              </w:tc>
              <w:tc>
                <w:tcPr>
                  <w:tcW w:w="590" w:type="pct"/>
                  <w:tcBorders>
                    <w:tl2br w:val="nil"/>
                    <w:tr2bl w:val="nil"/>
                  </w:tcBorders>
                  <w:vAlign w:val="center"/>
                </w:tcPr>
                <w:p>
                  <w:pPr>
                    <w:ind w:left="-105" w:leftChars="-50" w:right="-105" w:rightChars="-50"/>
                    <w:jc w:val="center"/>
                    <w:rPr>
                      <w:b/>
                      <w:bCs/>
                      <w:color w:val="auto"/>
                      <w:sz w:val="18"/>
                      <w:szCs w:val="18"/>
                    </w:rPr>
                  </w:pPr>
                  <w:r>
                    <w:rPr>
                      <w:b/>
                      <w:bCs/>
                      <w:color w:val="auto"/>
                      <w:sz w:val="18"/>
                      <w:szCs w:val="18"/>
                    </w:rPr>
                    <w:t>洪水发生</w:t>
                  </w:r>
                </w:p>
                <w:p>
                  <w:pPr>
                    <w:ind w:left="-105" w:leftChars="-50" w:right="-105" w:rightChars="-50"/>
                    <w:jc w:val="center"/>
                    <w:rPr>
                      <w:b/>
                      <w:bCs/>
                      <w:color w:val="auto"/>
                      <w:sz w:val="18"/>
                      <w:szCs w:val="18"/>
                    </w:rPr>
                  </w:pPr>
                  <w:r>
                    <w:rPr>
                      <w:b/>
                      <w:bCs/>
                      <w:color w:val="auto"/>
                      <w:sz w:val="18"/>
                      <w:szCs w:val="18"/>
                    </w:rPr>
                    <w:t>日期</w:t>
                  </w:r>
                </w:p>
                <w:p>
                  <w:pPr>
                    <w:ind w:left="-105" w:leftChars="-50" w:right="-105" w:rightChars="-50"/>
                    <w:jc w:val="center"/>
                    <w:rPr>
                      <w:b/>
                      <w:bCs/>
                      <w:color w:val="auto"/>
                      <w:sz w:val="18"/>
                      <w:szCs w:val="18"/>
                    </w:rPr>
                  </w:pPr>
                  <w:r>
                    <w:rPr>
                      <w:b/>
                      <w:bCs/>
                      <w:color w:val="auto"/>
                      <w:sz w:val="18"/>
                      <w:szCs w:val="18"/>
                    </w:rPr>
                    <w:t>（年月日）</w:t>
                  </w:r>
                </w:p>
              </w:tc>
              <w:tc>
                <w:tcPr>
                  <w:tcW w:w="2995" w:type="pct"/>
                  <w:gridSpan w:val="7"/>
                  <w:tcBorders>
                    <w:tl2br w:val="nil"/>
                    <w:tr2bl w:val="nil"/>
                  </w:tcBorders>
                  <w:vAlign w:val="center"/>
                </w:tcPr>
                <w:p>
                  <w:pPr>
                    <w:ind w:left="-105" w:leftChars="-50" w:right="-105" w:rightChars="-50"/>
                    <w:jc w:val="center"/>
                    <w:rPr>
                      <w:b/>
                      <w:bCs/>
                      <w:color w:val="auto"/>
                      <w:sz w:val="18"/>
                      <w:szCs w:val="18"/>
                    </w:rPr>
                  </w:pPr>
                  <w:r>
                    <w:rPr>
                      <w:b/>
                      <w:bCs/>
                      <w:color w:val="auto"/>
                      <w:sz w:val="18"/>
                      <w:szCs w:val="18"/>
                    </w:rPr>
                    <w:t>计算流量因素</w:t>
                  </w:r>
                </w:p>
              </w:tc>
              <w:tc>
                <w:tcPr>
                  <w:tcW w:w="422"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可靠</w:t>
                  </w:r>
                </w:p>
                <w:p>
                  <w:pPr>
                    <w:ind w:left="-105" w:leftChars="-50" w:right="-105" w:rightChars="-50"/>
                    <w:jc w:val="center"/>
                    <w:rPr>
                      <w:color w:val="auto"/>
                      <w:sz w:val="18"/>
                      <w:szCs w:val="18"/>
                    </w:rPr>
                  </w:pPr>
                  <w:r>
                    <w:rPr>
                      <w:color w:val="auto"/>
                      <w:sz w:val="18"/>
                      <w:szCs w:val="18"/>
                    </w:rPr>
                    <w:t>程度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0" w:hRule="atLeast"/>
                <w:tblHeader/>
              </w:trPr>
              <w:tc>
                <w:tcPr>
                  <w:tcW w:w="554"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交岔乡麻地沟</w:t>
                  </w:r>
                </w:p>
              </w:tc>
              <w:tc>
                <w:tcPr>
                  <w:tcW w:w="438" w:type="pct"/>
                  <w:tcBorders>
                    <w:tl2br w:val="nil"/>
                    <w:tr2bl w:val="nil"/>
                  </w:tcBorders>
                  <w:vAlign w:val="center"/>
                </w:tcPr>
                <w:p>
                  <w:pPr>
                    <w:ind w:left="-105" w:leftChars="-50" w:right="-105" w:rightChars="-50"/>
                    <w:jc w:val="center"/>
                    <w:rPr>
                      <w:color w:val="auto"/>
                      <w:sz w:val="18"/>
                      <w:szCs w:val="18"/>
                    </w:rPr>
                  </w:pPr>
                  <w:r>
                    <w:rPr>
                      <w:color w:val="auto"/>
                      <w:sz w:val="18"/>
                      <w:szCs w:val="18"/>
                    </w:rPr>
                    <w:t>河长（km）</w:t>
                  </w: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调查日期</w:t>
                  </w:r>
                </w:p>
                <w:p>
                  <w:pPr>
                    <w:ind w:left="-105" w:leftChars="-50" w:right="-105" w:rightChars="-50"/>
                    <w:jc w:val="center"/>
                    <w:rPr>
                      <w:color w:val="auto"/>
                      <w:sz w:val="18"/>
                      <w:szCs w:val="18"/>
                    </w:rPr>
                  </w:pPr>
                  <w:r>
                    <w:rPr>
                      <w:color w:val="auto"/>
                      <w:sz w:val="18"/>
                      <w:szCs w:val="18"/>
                    </w:rPr>
                    <w:t>（年月日）</w:t>
                  </w:r>
                </w:p>
              </w:tc>
              <w:tc>
                <w:tcPr>
                  <w:tcW w:w="428" w:type="pct"/>
                  <w:tcBorders>
                    <w:tl2br w:val="nil"/>
                    <w:tr2bl w:val="nil"/>
                  </w:tcBorders>
                  <w:vAlign w:val="center"/>
                </w:tcPr>
                <w:p>
                  <w:pPr>
                    <w:ind w:left="-105" w:leftChars="-50" w:right="-105" w:rightChars="-50"/>
                    <w:jc w:val="center"/>
                    <w:rPr>
                      <w:color w:val="auto"/>
                      <w:sz w:val="18"/>
                      <w:szCs w:val="18"/>
                    </w:rPr>
                  </w:pPr>
                  <w:r>
                    <w:rPr>
                      <w:color w:val="auto"/>
                      <w:sz w:val="18"/>
                      <w:szCs w:val="18"/>
                    </w:rPr>
                    <w:t>水面宽(m)</w:t>
                  </w:r>
                </w:p>
              </w:tc>
              <w:tc>
                <w:tcPr>
                  <w:tcW w:w="428" w:type="pct"/>
                  <w:tcBorders>
                    <w:tl2br w:val="nil"/>
                    <w:tr2bl w:val="nil"/>
                  </w:tcBorders>
                  <w:vAlign w:val="center"/>
                </w:tcPr>
                <w:p>
                  <w:pPr>
                    <w:ind w:left="-105" w:leftChars="-50" w:right="-105" w:rightChars="-50"/>
                    <w:jc w:val="center"/>
                    <w:rPr>
                      <w:color w:val="auto"/>
                      <w:sz w:val="18"/>
                      <w:szCs w:val="18"/>
                    </w:rPr>
                  </w:pPr>
                  <w:r>
                    <w:rPr>
                      <w:color w:val="auto"/>
                      <w:sz w:val="18"/>
                      <w:szCs w:val="18"/>
                    </w:rPr>
                    <w:t>糙率</w:t>
                  </w:r>
                </w:p>
              </w:tc>
              <w:tc>
                <w:tcPr>
                  <w:tcW w:w="428" w:type="pct"/>
                  <w:tcBorders>
                    <w:tl2br w:val="nil"/>
                    <w:tr2bl w:val="nil"/>
                  </w:tcBorders>
                  <w:vAlign w:val="center"/>
                </w:tcPr>
                <w:p>
                  <w:pPr>
                    <w:ind w:left="-105" w:leftChars="-50" w:right="-105" w:rightChars="-50"/>
                    <w:jc w:val="center"/>
                    <w:rPr>
                      <w:color w:val="auto"/>
                      <w:sz w:val="18"/>
                      <w:szCs w:val="18"/>
                    </w:rPr>
                  </w:pPr>
                  <w:r>
                    <w:rPr>
                      <w:color w:val="auto"/>
                      <w:sz w:val="18"/>
                      <w:szCs w:val="18"/>
                    </w:rPr>
                    <w:t>比降(10-4)</w:t>
                  </w:r>
                </w:p>
              </w:tc>
              <w:tc>
                <w:tcPr>
                  <w:tcW w:w="428" w:type="pct"/>
                  <w:tcBorders>
                    <w:tl2br w:val="nil"/>
                    <w:tr2bl w:val="nil"/>
                  </w:tcBorders>
                  <w:vAlign w:val="center"/>
                </w:tcPr>
                <w:p>
                  <w:pPr>
                    <w:ind w:left="-105" w:leftChars="-50" w:right="-105" w:rightChars="-50"/>
                    <w:jc w:val="center"/>
                    <w:rPr>
                      <w:color w:val="auto"/>
                      <w:sz w:val="18"/>
                      <w:szCs w:val="18"/>
                    </w:rPr>
                  </w:pPr>
                  <w:r>
                    <w:rPr>
                      <w:color w:val="auto"/>
                      <w:sz w:val="18"/>
                      <w:szCs w:val="18"/>
                    </w:rPr>
                    <w:t>平均水深(m)</w:t>
                  </w:r>
                </w:p>
              </w:tc>
              <w:tc>
                <w:tcPr>
                  <w:tcW w:w="428" w:type="pct"/>
                  <w:tcBorders>
                    <w:tl2br w:val="nil"/>
                    <w:tr2bl w:val="nil"/>
                  </w:tcBorders>
                  <w:vAlign w:val="center"/>
                </w:tcPr>
                <w:p>
                  <w:pPr>
                    <w:ind w:left="-105" w:leftChars="-50" w:right="-105" w:rightChars="-50"/>
                    <w:jc w:val="center"/>
                    <w:rPr>
                      <w:color w:val="auto"/>
                      <w:sz w:val="18"/>
                      <w:szCs w:val="18"/>
                    </w:rPr>
                  </w:pPr>
                  <w:r>
                    <w:rPr>
                      <w:color w:val="auto"/>
                      <w:sz w:val="18"/>
                      <w:szCs w:val="18"/>
                    </w:rPr>
                    <w:t>平均流速(m/s)</w:t>
                  </w:r>
                </w:p>
              </w:tc>
              <w:tc>
                <w:tcPr>
                  <w:tcW w:w="428" w:type="pct"/>
                  <w:tcBorders>
                    <w:tl2br w:val="nil"/>
                    <w:tr2bl w:val="nil"/>
                  </w:tcBorders>
                  <w:vAlign w:val="center"/>
                </w:tcPr>
                <w:p>
                  <w:pPr>
                    <w:ind w:left="-105" w:leftChars="-50" w:right="-105" w:rightChars="-50"/>
                    <w:jc w:val="center"/>
                    <w:rPr>
                      <w:color w:val="auto"/>
                      <w:sz w:val="18"/>
                      <w:szCs w:val="18"/>
                    </w:rPr>
                  </w:pPr>
                  <w:r>
                    <w:rPr>
                      <w:color w:val="auto"/>
                      <w:sz w:val="18"/>
                      <w:szCs w:val="18"/>
                    </w:rPr>
                    <w:t>断面面积(m</w:t>
                  </w:r>
                  <w:r>
                    <w:rPr>
                      <w:color w:val="auto"/>
                      <w:sz w:val="18"/>
                      <w:szCs w:val="18"/>
                      <w:vertAlign w:val="superscript"/>
                    </w:rPr>
                    <w:t>2</w:t>
                  </w:r>
                  <w:r>
                    <w:rPr>
                      <w:color w:val="auto"/>
                      <w:sz w:val="18"/>
                      <w:szCs w:val="18"/>
                    </w:rPr>
                    <w:t>)</w:t>
                  </w:r>
                </w:p>
              </w:tc>
              <w:tc>
                <w:tcPr>
                  <w:tcW w:w="428" w:type="pct"/>
                  <w:tcBorders>
                    <w:tl2br w:val="nil"/>
                    <w:tr2bl w:val="nil"/>
                  </w:tcBorders>
                  <w:vAlign w:val="center"/>
                </w:tcPr>
                <w:p>
                  <w:pPr>
                    <w:ind w:left="-105" w:leftChars="-50" w:right="-105" w:rightChars="-50"/>
                    <w:jc w:val="center"/>
                    <w:rPr>
                      <w:color w:val="auto"/>
                      <w:sz w:val="18"/>
                      <w:szCs w:val="18"/>
                    </w:rPr>
                  </w:pPr>
                  <w:r>
                    <w:rPr>
                      <w:color w:val="auto"/>
                      <w:sz w:val="18"/>
                      <w:szCs w:val="18"/>
                    </w:rPr>
                    <w:t>洪峰</w:t>
                  </w:r>
                </w:p>
                <w:p>
                  <w:pPr>
                    <w:ind w:left="-105" w:leftChars="-50" w:right="-105" w:rightChars="-50"/>
                    <w:jc w:val="center"/>
                    <w:rPr>
                      <w:color w:val="auto"/>
                      <w:sz w:val="18"/>
                      <w:szCs w:val="18"/>
                    </w:rPr>
                  </w:pPr>
                  <w:r>
                    <w:rPr>
                      <w:color w:val="auto"/>
                      <w:sz w:val="18"/>
                      <w:szCs w:val="18"/>
                    </w:rPr>
                    <w:t>流量(m</w:t>
                  </w:r>
                  <w:r>
                    <w:rPr>
                      <w:color w:val="auto"/>
                      <w:sz w:val="18"/>
                      <w:szCs w:val="18"/>
                      <w:vertAlign w:val="superscript"/>
                    </w:rPr>
                    <w:t>3</w:t>
                  </w:r>
                  <w:r>
                    <w:rPr>
                      <w:color w:val="auto"/>
                      <w:sz w:val="18"/>
                      <w:szCs w:val="18"/>
                    </w:rPr>
                    <w:t>/s)</w:t>
                  </w:r>
                </w:p>
              </w:tc>
              <w:tc>
                <w:tcPr>
                  <w:tcW w:w="422" w:type="pct"/>
                  <w:vMerge w:val="continue"/>
                  <w:tcBorders>
                    <w:tl2br w:val="nil"/>
                    <w:tr2bl w:val="nil"/>
                  </w:tcBorders>
                  <w:vAlign w:val="center"/>
                </w:tcPr>
                <w:p>
                  <w:pPr>
                    <w:ind w:left="-105" w:leftChars="-50" w:right="-105" w:rightChars="-50"/>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554" w:type="pct"/>
                  <w:vMerge w:val="continue"/>
                  <w:tcBorders>
                    <w:tl2br w:val="nil"/>
                    <w:tr2bl w:val="nil"/>
                  </w:tcBorders>
                  <w:vAlign w:val="center"/>
                </w:tcPr>
                <w:p>
                  <w:pPr>
                    <w:ind w:left="-105" w:leftChars="-50" w:right="-105" w:rightChars="-50"/>
                    <w:jc w:val="center"/>
                    <w:rPr>
                      <w:color w:val="auto"/>
                      <w:sz w:val="18"/>
                      <w:szCs w:val="18"/>
                    </w:rPr>
                  </w:pPr>
                </w:p>
              </w:tc>
              <w:tc>
                <w:tcPr>
                  <w:tcW w:w="438" w:type="pct"/>
                  <w:tcBorders>
                    <w:tl2br w:val="nil"/>
                    <w:tr2bl w:val="nil"/>
                  </w:tcBorders>
                  <w:vAlign w:val="center"/>
                </w:tcPr>
                <w:p>
                  <w:pPr>
                    <w:ind w:left="-105" w:leftChars="-50" w:right="-105" w:rightChars="-50"/>
                    <w:jc w:val="center"/>
                    <w:rPr>
                      <w:color w:val="auto"/>
                      <w:sz w:val="18"/>
                      <w:szCs w:val="18"/>
                    </w:rPr>
                  </w:pPr>
                  <w:r>
                    <w:rPr>
                      <w:color w:val="auto"/>
                      <w:sz w:val="18"/>
                      <w:szCs w:val="18"/>
                    </w:rPr>
                    <w:t>198</w:t>
                  </w: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1955.6.6</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51.0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0.040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83.0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3.80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5.06</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194</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982</w:t>
                  </w:r>
                </w:p>
              </w:tc>
              <w:tc>
                <w:tcPr>
                  <w:tcW w:w="422"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较可靠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554" w:type="pct"/>
                  <w:vMerge w:val="continue"/>
                  <w:tcBorders>
                    <w:tl2br w:val="nil"/>
                    <w:tr2bl w:val="nil"/>
                  </w:tcBorders>
                  <w:vAlign w:val="center"/>
                </w:tcPr>
                <w:p>
                  <w:pPr>
                    <w:ind w:left="-105" w:leftChars="-50" w:right="-105" w:rightChars="-50"/>
                    <w:jc w:val="center"/>
                    <w:rPr>
                      <w:color w:val="auto"/>
                      <w:sz w:val="18"/>
                      <w:szCs w:val="18"/>
                    </w:rPr>
                  </w:pPr>
                </w:p>
              </w:tc>
              <w:tc>
                <w:tcPr>
                  <w:tcW w:w="438" w:type="pct"/>
                  <w:tcBorders>
                    <w:tl2br w:val="nil"/>
                    <w:tr2bl w:val="nil"/>
                  </w:tcBorders>
                  <w:vAlign w:val="center"/>
                </w:tcPr>
                <w:p>
                  <w:pPr>
                    <w:ind w:left="-105" w:leftChars="-50" w:right="-105" w:rightChars="-50"/>
                    <w:jc w:val="center"/>
                    <w:rPr>
                      <w:color w:val="auto"/>
                      <w:sz w:val="18"/>
                      <w:szCs w:val="18"/>
                    </w:rPr>
                  </w:pPr>
                  <w:r>
                    <w:rPr>
                      <w:color w:val="auto"/>
                      <w:sz w:val="18"/>
                      <w:szCs w:val="18"/>
                    </w:rPr>
                    <w:t>21.6</w:t>
                  </w: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1976.10.26</w:t>
                  </w: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2" w:type="pct"/>
                  <w:vMerge w:val="continue"/>
                  <w:tcBorders>
                    <w:tl2br w:val="nil"/>
                    <w:tr2bl w:val="nil"/>
                  </w:tcBorders>
                  <w:vAlign w:val="center"/>
                </w:tcPr>
                <w:p>
                  <w:pPr>
                    <w:ind w:left="-105" w:leftChars="-50" w:right="-105" w:rightChars="-50"/>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554" w:type="pct"/>
                  <w:vMerge w:val="continue"/>
                  <w:tcBorders>
                    <w:tl2br w:val="nil"/>
                    <w:tr2bl w:val="nil"/>
                  </w:tcBorders>
                  <w:vAlign w:val="center"/>
                </w:tcPr>
                <w:p>
                  <w:pPr>
                    <w:ind w:left="-105" w:leftChars="-50" w:right="-105" w:rightChars="-50"/>
                    <w:jc w:val="center"/>
                    <w:rPr>
                      <w:color w:val="auto"/>
                      <w:sz w:val="18"/>
                      <w:szCs w:val="18"/>
                    </w:rPr>
                  </w:pPr>
                </w:p>
              </w:tc>
              <w:tc>
                <w:tcPr>
                  <w:tcW w:w="438" w:type="pct"/>
                  <w:tcBorders>
                    <w:tl2br w:val="nil"/>
                    <w:tr2bl w:val="nil"/>
                  </w:tcBorders>
                  <w:vAlign w:val="center"/>
                </w:tcPr>
                <w:p>
                  <w:pPr>
                    <w:ind w:left="-105" w:leftChars="-50" w:right="-105" w:rightChars="-50"/>
                    <w:jc w:val="center"/>
                    <w:rPr>
                      <w:color w:val="auto"/>
                      <w:sz w:val="18"/>
                      <w:szCs w:val="18"/>
                    </w:rPr>
                  </w:pP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1978.7.18</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22.8</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0.035</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66.0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2.32</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3.60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53.0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191</w:t>
                  </w:r>
                </w:p>
              </w:tc>
              <w:tc>
                <w:tcPr>
                  <w:tcW w:w="422"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554" w:type="pct"/>
                  <w:vMerge w:val="continue"/>
                  <w:tcBorders>
                    <w:tl2br w:val="nil"/>
                    <w:tr2bl w:val="nil"/>
                  </w:tcBorders>
                  <w:vAlign w:val="center"/>
                </w:tcPr>
                <w:p>
                  <w:pPr>
                    <w:ind w:left="-105" w:leftChars="-50" w:right="-105" w:rightChars="-50"/>
                    <w:jc w:val="center"/>
                    <w:rPr>
                      <w:color w:val="auto"/>
                      <w:sz w:val="18"/>
                      <w:szCs w:val="18"/>
                    </w:rPr>
                  </w:pPr>
                </w:p>
              </w:tc>
              <w:tc>
                <w:tcPr>
                  <w:tcW w:w="438" w:type="pct"/>
                  <w:tcBorders>
                    <w:tl2br w:val="nil"/>
                    <w:tr2bl w:val="nil"/>
                  </w:tcBorders>
                  <w:vAlign w:val="center"/>
                </w:tcPr>
                <w:p>
                  <w:pPr>
                    <w:ind w:left="-105" w:leftChars="-50" w:right="-105" w:rightChars="-50"/>
                    <w:jc w:val="center"/>
                    <w:rPr>
                      <w:color w:val="auto"/>
                      <w:sz w:val="18"/>
                      <w:szCs w:val="18"/>
                    </w:rPr>
                  </w:pP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19798.9.16</w:t>
                  </w: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2" w:type="pct"/>
                  <w:vMerge w:val="continue"/>
                  <w:tcBorders>
                    <w:tl2br w:val="nil"/>
                    <w:tr2bl w:val="nil"/>
                  </w:tcBorders>
                  <w:vAlign w:val="center"/>
                </w:tcPr>
                <w:p>
                  <w:pPr>
                    <w:ind w:left="-105" w:leftChars="-50" w:right="-105" w:rightChars="-50"/>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4"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交岔乡苋麻湾</w:t>
                  </w:r>
                </w:p>
              </w:tc>
              <w:tc>
                <w:tcPr>
                  <w:tcW w:w="438" w:type="pct"/>
                  <w:tcBorders>
                    <w:tl2br w:val="nil"/>
                    <w:tr2bl w:val="nil"/>
                  </w:tcBorders>
                  <w:vAlign w:val="center"/>
                </w:tcPr>
                <w:p>
                  <w:pPr>
                    <w:ind w:left="-105" w:leftChars="-50" w:right="-105" w:rightChars="-50"/>
                    <w:jc w:val="center"/>
                    <w:rPr>
                      <w:color w:val="auto"/>
                      <w:sz w:val="18"/>
                      <w:szCs w:val="18"/>
                    </w:rPr>
                  </w:pPr>
                  <w:r>
                    <w:rPr>
                      <w:color w:val="auto"/>
                      <w:sz w:val="18"/>
                      <w:szCs w:val="18"/>
                    </w:rPr>
                    <w:t>238</w:t>
                  </w: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1996.7.27</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30.8</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0.046</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69.0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4.35</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4.08</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134</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547</w:t>
                  </w:r>
                </w:p>
              </w:tc>
              <w:tc>
                <w:tcPr>
                  <w:tcW w:w="422"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可靠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4" w:type="pct"/>
                  <w:vMerge w:val="continue"/>
                  <w:tcBorders>
                    <w:tl2br w:val="nil"/>
                    <w:tr2bl w:val="nil"/>
                  </w:tcBorders>
                  <w:vAlign w:val="center"/>
                </w:tcPr>
                <w:p>
                  <w:pPr>
                    <w:ind w:left="-105" w:leftChars="-50" w:right="-105" w:rightChars="-50"/>
                    <w:jc w:val="center"/>
                    <w:rPr>
                      <w:color w:val="auto"/>
                      <w:sz w:val="18"/>
                      <w:szCs w:val="18"/>
                    </w:rPr>
                  </w:pPr>
                </w:p>
              </w:tc>
              <w:tc>
                <w:tcPr>
                  <w:tcW w:w="438" w:type="pct"/>
                  <w:tcBorders>
                    <w:tl2br w:val="nil"/>
                    <w:tr2bl w:val="nil"/>
                  </w:tcBorders>
                  <w:vAlign w:val="center"/>
                </w:tcPr>
                <w:p>
                  <w:pPr>
                    <w:ind w:left="-105" w:leftChars="-50" w:right="-105" w:rightChars="-50"/>
                    <w:jc w:val="center"/>
                    <w:rPr>
                      <w:color w:val="auto"/>
                      <w:sz w:val="18"/>
                      <w:szCs w:val="18"/>
                    </w:rPr>
                  </w:pP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1996.8.30</w:t>
                  </w: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2" w:type="pct"/>
                  <w:vMerge w:val="continue"/>
                  <w:tcBorders>
                    <w:tl2br w:val="nil"/>
                    <w:tr2bl w:val="nil"/>
                  </w:tcBorders>
                  <w:vAlign w:val="center"/>
                </w:tcPr>
                <w:p>
                  <w:pPr>
                    <w:ind w:left="-105" w:leftChars="-50" w:right="-105" w:rightChars="-50"/>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4" w:type="pct"/>
                  <w:vMerge w:val="continue"/>
                  <w:tcBorders>
                    <w:tl2br w:val="nil"/>
                    <w:tr2bl w:val="nil"/>
                  </w:tcBorders>
                  <w:vAlign w:val="center"/>
                </w:tcPr>
                <w:p>
                  <w:pPr>
                    <w:ind w:left="-105" w:leftChars="-50" w:right="-105" w:rightChars="-50"/>
                    <w:jc w:val="center"/>
                    <w:rPr>
                      <w:color w:val="auto"/>
                      <w:sz w:val="18"/>
                      <w:szCs w:val="18"/>
                    </w:rPr>
                  </w:pPr>
                </w:p>
              </w:tc>
              <w:tc>
                <w:tcPr>
                  <w:tcW w:w="438" w:type="pct"/>
                  <w:tcBorders>
                    <w:tl2br w:val="nil"/>
                    <w:tr2bl w:val="nil"/>
                  </w:tcBorders>
                  <w:vAlign w:val="center"/>
                </w:tcPr>
                <w:p>
                  <w:pPr>
                    <w:ind w:left="-105" w:leftChars="-50" w:right="-105" w:rightChars="-50"/>
                    <w:jc w:val="center"/>
                    <w:rPr>
                      <w:color w:val="auto"/>
                      <w:sz w:val="18"/>
                      <w:szCs w:val="18"/>
                    </w:rPr>
                  </w:pPr>
                  <w:r>
                    <w:rPr>
                      <w:color w:val="auto"/>
                      <w:sz w:val="18"/>
                      <w:szCs w:val="18"/>
                    </w:rPr>
                    <w:t>245</w:t>
                  </w: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1970.8.5</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38.2</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0.035</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50.0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3.82</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4.37</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146</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638</w:t>
                  </w:r>
                </w:p>
              </w:tc>
              <w:tc>
                <w:tcPr>
                  <w:tcW w:w="422"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较可靠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4" w:type="pct"/>
                  <w:vMerge w:val="continue"/>
                  <w:tcBorders>
                    <w:tl2br w:val="nil"/>
                    <w:tr2bl w:val="nil"/>
                  </w:tcBorders>
                  <w:vAlign w:val="center"/>
                </w:tcPr>
                <w:p>
                  <w:pPr>
                    <w:ind w:left="-105" w:leftChars="-50" w:right="-105" w:rightChars="-50"/>
                    <w:jc w:val="center"/>
                    <w:rPr>
                      <w:color w:val="auto"/>
                      <w:sz w:val="18"/>
                      <w:szCs w:val="18"/>
                    </w:rPr>
                  </w:pPr>
                </w:p>
              </w:tc>
              <w:tc>
                <w:tcPr>
                  <w:tcW w:w="438" w:type="pct"/>
                  <w:tcBorders>
                    <w:tl2br w:val="nil"/>
                    <w:tr2bl w:val="nil"/>
                  </w:tcBorders>
                  <w:vAlign w:val="center"/>
                </w:tcPr>
                <w:p>
                  <w:pPr>
                    <w:ind w:left="-105" w:leftChars="-50" w:right="-105" w:rightChars="-50"/>
                    <w:jc w:val="center"/>
                    <w:rPr>
                      <w:color w:val="auto"/>
                      <w:sz w:val="18"/>
                      <w:szCs w:val="18"/>
                    </w:rPr>
                  </w:pP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1976.10.28</w:t>
                  </w: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2" w:type="pct"/>
                  <w:vMerge w:val="continue"/>
                  <w:tcBorders>
                    <w:tl2br w:val="nil"/>
                    <w:tr2bl w:val="nil"/>
                  </w:tcBorders>
                  <w:vAlign w:val="center"/>
                </w:tcPr>
                <w:p>
                  <w:pPr>
                    <w:ind w:left="-105" w:leftChars="-50" w:right="-105" w:rightChars="-50"/>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4" w:type="pct"/>
                  <w:vMerge w:val="continue"/>
                  <w:tcBorders>
                    <w:tl2br w:val="nil"/>
                    <w:tr2bl w:val="nil"/>
                  </w:tcBorders>
                  <w:vAlign w:val="center"/>
                </w:tcPr>
                <w:p>
                  <w:pPr>
                    <w:ind w:left="-105" w:leftChars="-50" w:right="-105" w:rightChars="-50"/>
                    <w:jc w:val="center"/>
                    <w:rPr>
                      <w:color w:val="auto"/>
                      <w:sz w:val="18"/>
                      <w:szCs w:val="18"/>
                    </w:rPr>
                  </w:pPr>
                </w:p>
              </w:tc>
              <w:tc>
                <w:tcPr>
                  <w:tcW w:w="438" w:type="pct"/>
                  <w:tcBorders>
                    <w:tl2br w:val="nil"/>
                    <w:tr2bl w:val="nil"/>
                  </w:tcBorders>
                  <w:vAlign w:val="center"/>
                </w:tcPr>
                <w:p>
                  <w:pPr>
                    <w:ind w:left="-105" w:leftChars="-50" w:right="-105" w:rightChars="-50"/>
                    <w:jc w:val="center"/>
                    <w:rPr>
                      <w:color w:val="auto"/>
                      <w:sz w:val="18"/>
                      <w:szCs w:val="18"/>
                    </w:rPr>
                  </w:pP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1978.7.20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19.2</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0.035</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87.0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1.40</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3.04</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26.8</w:t>
                  </w:r>
                </w:p>
              </w:tc>
              <w:tc>
                <w:tcPr>
                  <w:tcW w:w="428"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81.5</w:t>
                  </w:r>
                </w:p>
              </w:tc>
              <w:tc>
                <w:tcPr>
                  <w:tcW w:w="422" w:type="pct"/>
                  <w:vMerge w:val="restart"/>
                  <w:tcBorders>
                    <w:tl2br w:val="nil"/>
                    <w:tr2bl w:val="nil"/>
                  </w:tcBorders>
                  <w:vAlign w:val="center"/>
                </w:tcPr>
                <w:p>
                  <w:pPr>
                    <w:ind w:left="-105" w:leftChars="-50" w:right="-105" w:rightChars="-50"/>
                    <w:jc w:val="center"/>
                    <w:rPr>
                      <w:color w:val="auto"/>
                      <w:sz w:val="18"/>
                      <w:szCs w:val="18"/>
                    </w:rPr>
                  </w:pPr>
                  <w:r>
                    <w:rPr>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4" w:type="pct"/>
                  <w:vMerge w:val="continue"/>
                  <w:tcBorders>
                    <w:tl2br w:val="nil"/>
                    <w:tr2bl w:val="nil"/>
                  </w:tcBorders>
                  <w:vAlign w:val="center"/>
                </w:tcPr>
                <w:p>
                  <w:pPr>
                    <w:ind w:left="-105" w:leftChars="-50" w:right="-105" w:rightChars="-50"/>
                    <w:jc w:val="center"/>
                    <w:rPr>
                      <w:color w:val="auto"/>
                      <w:sz w:val="18"/>
                      <w:szCs w:val="18"/>
                    </w:rPr>
                  </w:pPr>
                </w:p>
              </w:tc>
              <w:tc>
                <w:tcPr>
                  <w:tcW w:w="438" w:type="pct"/>
                  <w:tcBorders>
                    <w:tl2br w:val="nil"/>
                    <w:tr2bl w:val="nil"/>
                  </w:tcBorders>
                  <w:vAlign w:val="center"/>
                </w:tcPr>
                <w:p>
                  <w:pPr>
                    <w:ind w:left="-105" w:leftChars="-50" w:right="-105" w:rightChars="-50"/>
                    <w:jc w:val="center"/>
                    <w:rPr>
                      <w:color w:val="auto"/>
                      <w:sz w:val="18"/>
                      <w:szCs w:val="18"/>
                    </w:rPr>
                  </w:pPr>
                </w:p>
              </w:tc>
              <w:tc>
                <w:tcPr>
                  <w:tcW w:w="590" w:type="pct"/>
                  <w:tcBorders>
                    <w:tl2br w:val="nil"/>
                    <w:tr2bl w:val="nil"/>
                  </w:tcBorders>
                  <w:vAlign w:val="center"/>
                </w:tcPr>
                <w:p>
                  <w:pPr>
                    <w:ind w:left="-105" w:leftChars="-50" w:right="-105" w:rightChars="-50"/>
                    <w:jc w:val="center"/>
                    <w:rPr>
                      <w:color w:val="auto"/>
                      <w:sz w:val="18"/>
                      <w:szCs w:val="18"/>
                    </w:rPr>
                  </w:pPr>
                  <w:r>
                    <w:rPr>
                      <w:color w:val="auto"/>
                      <w:sz w:val="18"/>
                      <w:szCs w:val="18"/>
                    </w:rPr>
                    <w:t>1978.9.27</w:t>
                  </w: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8" w:type="pct"/>
                  <w:vMerge w:val="continue"/>
                  <w:tcBorders>
                    <w:tl2br w:val="nil"/>
                    <w:tr2bl w:val="nil"/>
                  </w:tcBorders>
                  <w:vAlign w:val="center"/>
                </w:tcPr>
                <w:p>
                  <w:pPr>
                    <w:ind w:left="-105" w:leftChars="-50" w:right="-105" w:rightChars="-50"/>
                    <w:jc w:val="center"/>
                    <w:rPr>
                      <w:color w:val="auto"/>
                      <w:sz w:val="18"/>
                      <w:szCs w:val="18"/>
                    </w:rPr>
                  </w:pPr>
                </w:p>
              </w:tc>
              <w:tc>
                <w:tcPr>
                  <w:tcW w:w="422" w:type="pct"/>
                  <w:vMerge w:val="continue"/>
                  <w:tcBorders>
                    <w:tl2br w:val="nil"/>
                    <w:tr2bl w:val="nil"/>
                  </w:tcBorders>
                  <w:vAlign w:val="center"/>
                </w:tcPr>
                <w:p>
                  <w:pPr>
                    <w:ind w:left="-105" w:leftChars="-50" w:right="-105" w:rightChars="-50"/>
                    <w:jc w:val="center"/>
                    <w:rPr>
                      <w:color w:val="auto"/>
                      <w:sz w:val="18"/>
                      <w:szCs w:val="18"/>
                    </w:rPr>
                  </w:pPr>
                </w:p>
              </w:tc>
            </w:tr>
          </w:tbl>
          <w:p>
            <w:pPr>
              <w:adjustRightInd w:val="0"/>
              <w:snapToGrid w:val="0"/>
              <w:spacing w:line="360" w:lineRule="auto"/>
              <w:jc w:val="left"/>
              <w:rPr>
                <w:b/>
                <w:color w:val="auto"/>
                <w:kern w:val="0"/>
                <w:sz w:val="24"/>
                <w:lang w:bidi="ar"/>
              </w:rPr>
            </w:pPr>
            <w:r>
              <w:rPr>
                <w:rFonts w:hint="eastAsia"/>
                <w:b/>
                <w:bCs/>
                <w:color w:val="auto"/>
                <w:kern w:val="0"/>
                <w:sz w:val="24"/>
              </w:rPr>
              <w:t>2.</w:t>
            </w:r>
            <w:r>
              <w:rPr>
                <w:b/>
                <w:bCs/>
                <w:color w:val="auto"/>
                <w:kern w:val="0"/>
                <w:sz w:val="24"/>
              </w:rPr>
              <w:t>2.5</w:t>
            </w:r>
            <w:r>
              <w:rPr>
                <w:rFonts w:hint="eastAsia"/>
                <w:b/>
                <w:color w:val="auto"/>
                <w:kern w:val="0"/>
                <w:sz w:val="24"/>
                <w:lang w:bidi="ar"/>
              </w:rPr>
              <w:t>.2设计暴雨洪水</w:t>
            </w:r>
          </w:p>
          <w:p>
            <w:pPr>
              <w:pStyle w:val="5"/>
              <w:tabs>
                <w:tab w:val="left" w:pos="840"/>
              </w:tabs>
              <w:ind w:firstLine="482" w:firstLineChars="200"/>
              <w:rPr>
                <w:bCs w:val="0"/>
                <w:color w:val="auto"/>
                <w:sz w:val="24"/>
                <w:szCs w:val="24"/>
                <w:lang w:bidi="ar"/>
              </w:rPr>
            </w:pPr>
            <w:bookmarkStart w:id="28" w:name="_Toc84597728"/>
            <w:r>
              <w:rPr>
                <w:bCs w:val="0"/>
                <w:color w:val="auto"/>
                <w:sz w:val="24"/>
                <w:szCs w:val="24"/>
                <w:lang w:bidi="ar"/>
              </w:rPr>
              <w:fldChar w:fldCharType="begin"/>
            </w:r>
            <w:r>
              <w:rPr>
                <w:bCs w:val="0"/>
                <w:color w:val="auto"/>
                <w:sz w:val="24"/>
                <w:szCs w:val="24"/>
                <w:lang w:bidi="ar"/>
              </w:rPr>
              <w:instrText xml:space="preserve"> = 1 \* GB2 \* MERGEFORMAT </w:instrText>
            </w:r>
            <w:r>
              <w:rPr>
                <w:bCs w:val="0"/>
                <w:color w:val="auto"/>
                <w:sz w:val="24"/>
                <w:szCs w:val="24"/>
                <w:lang w:bidi="ar"/>
              </w:rPr>
              <w:fldChar w:fldCharType="separate"/>
            </w:r>
            <w:r>
              <w:rPr>
                <w:bCs w:val="0"/>
                <w:color w:val="auto"/>
                <w:sz w:val="24"/>
                <w:szCs w:val="24"/>
                <w:lang w:bidi="ar"/>
              </w:rPr>
              <w:t>⑴</w:t>
            </w:r>
            <w:r>
              <w:rPr>
                <w:bCs w:val="0"/>
                <w:color w:val="auto"/>
                <w:sz w:val="24"/>
                <w:szCs w:val="24"/>
                <w:lang w:bidi="ar"/>
              </w:rPr>
              <w:fldChar w:fldCharType="end"/>
            </w:r>
            <w:r>
              <w:rPr>
                <w:rFonts w:hint="eastAsia"/>
                <w:bCs w:val="0"/>
                <w:color w:val="auto"/>
                <w:sz w:val="24"/>
                <w:szCs w:val="24"/>
                <w:lang w:bidi="ar"/>
              </w:rPr>
              <w:t>计算断面的选择</w:t>
            </w:r>
            <w:bookmarkEnd w:id="28"/>
          </w:p>
          <w:p>
            <w:pPr>
              <w:pStyle w:val="41"/>
              <w:widowControl w:val="0"/>
              <w:ind w:firstLine="480"/>
              <w:rPr>
                <w:color w:val="auto"/>
              </w:rPr>
            </w:pPr>
            <w:r>
              <w:rPr>
                <w:rFonts w:hint="eastAsia"/>
                <w:color w:val="auto"/>
              </w:rPr>
              <w:t>为保证区域及拦渣坝度汛安全，在矸石场上修建排洪渠，考虑范新庄水库降等或报废情况下，水库防洪标准将降低，因此各排洪渠水文计算面产流面积不再扣除上游水库控制流域面积。本次考虑在矸石场修建单侧排洪渠，将上游洪水通过排洪渠排入下游，根据支流加入情况排洪渠选3个断面、王洼二矿路涵管1个断面、王洼二矿井口1个断面，共5个计算断面。</w:t>
            </w:r>
          </w:p>
          <w:p>
            <w:pPr>
              <w:pStyle w:val="41"/>
              <w:widowControl w:val="0"/>
              <w:ind w:firstLine="480"/>
              <w:rPr>
                <w:color w:val="auto"/>
              </w:rPr>
            </w:pPr>
            <w:r>
              <w:rPr>
                <w:rFonts w:hint="eastAsia"/>
                <w:color w:val="auto"/>
              </w:rPr>
              <w:t>根据设计单位计算5个断面产流面积、概化河长及清浑比成果，各断面计算面积见表</w:t>
            </w:r>
            <w:r>
              <w:rPr>
                <w:color w:val="auto"/>
              </w:rPr>
              <w:t>2</w:t>
            </w:r>
            <w:r>
              <w:rPr>
                <w:rFonts w:hint="eastAsia"/>
                <w:color w:val="auto"/>
              </w:rPr>
              <w:t>-</w:t>
            </w:r>
            <w:r>
              <w:rPr>
                <w:color w:val="auto"/>
              </w:rPr>
              <w:t>9</w:t>
            </w:r>
            <w:r>
              <w:rPr>
                <w:rFonts w:hint="eastAsia"/>
                <w:color w:val="auto"/>
              </w:rPr>
              <w:t>及断面布设图</w:t>
            </w:r>
            <w:r>
              <w:rPr>
                <w:color w:val="auto"/>
              </w:rPr>
              <w:t>2</w:t>
            </w:r>
            <w:r>
              <w:rPr>
                <w:rFonts w:hint="eastAsia"/>
                <w:color w:val="auto"/>
              </w:rPr>
              <w:t>-</w:t>
            </w:r>
            <w:r>
              <w:rPr>
                <w:color w:val="auto"/>
              </w:rPr>
              <w:t>9</w:t>
            </w:r>
            <w:r>
              <w:rPr>
                <w:rFonts w:hint="eastAsia"/>
                <w:color w:val="auto"/>
              </w:rPr>
              <w:t>。</w:t>
            </w:r>
          </w:p>
          <w:p>
            <w:pPr>
              <w:pStyle w:val="41"/>
              <w:widowControl w:val="0"/>
              <w:spacing w:line="240" w:lineRule="auto"/>
              <w:ind w:firstLine="482"/>
              <w:rPr>
                <w:b/>
                <w:color w:val="auto"/>
                <w:szCs w:val="28"/>
              </w:rPr>
            </w:pPr>
            <w:r>
              <w:rPr>
                <w:b/>
                <w:color w:val="auto"/>
              </w:rPr>
              <w:t>表</w:t>
            </w:r>
            <w:r>
              <w:rPr>
                <w:b/>
                <w:color w:val="auto"/>
                <w:szCs w:val="28"/>
              </w:rPr>
              <w:t>2</w:t>
            </w:r>
            <w:r>
              <w:rPr>
                <w:rFonts w:hint="eastAsia"/>
                <w:b/>
                <w:color w:val="auto"/>
                <w:szCs w:val="28"/>
              </w:rPr>
              <w:t>-</w:t>
            </w:r>
            <w:r>
              <w:rPr>
                <w:b/>
                <w:color w:val="auto"/>
                <w:szCs w:val="28"/>
              </w:rPr>
              <w:t xml:space="preserve">9  </w:t>
            </w:r>
            <w:r>
              <w:rPr>
                <w:b/>
                <w:color w:val="auto"/>
              </w:rPr>
              <w:t xml:space="preserve">                选用</w:t>
            </w:r>
            <w:r>
              <w:rPr>
                <w:b/>
                <w:color w:val="auto"/>
                <w:szCs w:val="28"/>
              </w:rPr>
              <w:t>断面基本情况表</w:t>
            </w:r>
          </w:p>
          <w:tbl>
            <w:tblPr>
              <w:tblStyle w:val="19"/>
              <w:tblW w:w="8164"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853"/>
              <w:gridCol w:w="1123"/>
              <w:gridCol w:w="1132"/>
              <w:gridCol w:w="1133"/>
              <w:gridCol w:w="851"/>
              <w:gridCol w:w="1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8" w:type="pct"/>
                  <w:gridSpan w:val="2"/>
                  <w:tcBorders>
                    <w:tl2br w:val="nil"/>
                    <w:tr2bl w:val="nil"/>
                  </w:tcBorders>
                  <w:vAlign w:val="center"/>
                </w:tcPr>
                <w:p>
                  <w:pPr>
                    <w:adjustRightInd w:val="0"/>
                    <w:snapToGrid w:val="0"/>
                    <w:jc w:val="center"/>
                    <w:rPr>
                      <w:b/>
                      <w:bCs/>
                      <w:color w:val="auto"/>
                      <w:szCs w:val="21"/>
                    </w:rPr>
                  </w:pPr>
                  <w:r>
                    <w:rPr>
                      <w:b/>
                      <w:bCs/>
                      <w:color w:val="auto"/>
                      <w:szCs w:val="21"/>
                    </w:rPr>
                    <w:t>断面名称</w:t>
                  </w:r>
                </w:p>
              </w:tc>
              <w:tc>
                <w:tcPr>
                  <w:tcW w:w="688" w:type="pct"/>
                  <w:tcBorders>
                    <w:tl2br w:val="nil"/>
                    <w:tr2bl w:val="nil"/>
                  </w:tcBorders>
                  <w:vAlign w:val="center"/>
                </w:tcPr>
                <w:p>
                  <w:pPr>
                    <w:adjustRightInd w:val="0"/>
                    <w:snapToGrid w:val="0"/>
                    <w:jc w:val="center"/>
                    <w:rPr>
                      <w:b/>
                      <w:bCs/>
                      <w:color w:val="auto"/>
                      <w:szCs w:val="21"/>
                    </w:rPr>
                  </w:pPr>
                  <w:r>
                    <w:rPr>
                      <w:rFonts w:hint="eastAsia"/>
                      <w:b/>
                      <w:bCs/>
                      <w:color w:val="auto"/>
                      <w:szCs w:val="21"/>
                    </w:rPr>
                    <w:t>区间</w:t>
                  </w:r>
                  <w:r>
                    <w:rPr>
                      <w:b/>
                      <w:bCs/>
                      <w:color w:val="auto"/>
                      <w:szCs w:val="21"/>
                    </w:rPr>
                    <w:t>面积（km</w:t>
                  </w:r>
                  <w:r>
                    <w:rPr>
                      <w:b/>
                      <w:bCs/>
                      <w:color w:val="auto"/>
                      <w:szCs w:val="21"/>
                      <w:vertAlign w:val="superscript"/>
                    </w:rPr>
                    <w:t>2</w:t>
                  </w:r>
                  <w:r>
                    <w:rPr>
                      <w:b/>
                      <w:bCs/>
                      <w:color w:val="auto"/>
                      <w:szCs w:val="21"/>
                    </w:rPr>
                    <w:t>）</w:t>
                  </w:r>
                </w:p>
              </w:tc>
              <w:tc>
                <w:tcPr>
                  <w:tcW w:w="693" w:type="pct"/>
                  <w:tcBorders>
                    <w:tl2br w:val="nil"/>
                    <w:tr2bl w:val="nil"/>
                  </w:tcBorders>
                  <w:vAlign w:val="center"/>
                </w:tcPr>
                <w:p>
                  <w:pPr>
                    <w:adjustRightInd w:val="0"/>
                    <w:snapToGrid w:val="0"/>
                    <w:jc w:val="center"/>
                    <w:rPr>
                      <w:b/>
                      <w:bCs/>
                      <w:color w:val="auto"/>
                      <w:szCs w:val="21"/>
                    </w:rPr>
                  </w:pPr>
                  <w:r>
                    <w:rPr>
                      <w:rFonts w:hint="eastAsia"/>
                      <w:b/>
                      <w:bCs/>
                      <w:color w:val="auto"/>
                      <w:szCs w:val="21"/>
                    </w:rPr>
                    <w:t>累积面积</w:t>
                  </w:r>
                  <w:r>
                    <w:rPr>
                      <w:b/>
                      <w:bCs/>
                      <w:color w:val="auto"/>
                      <w:szCs w:val="21"/>
                    </w:rPr>
                    <w:t>（km</w:t>
                  </w:r>
                  <w:r>
                    <w:rPr>
                      <w:b/>
                      <w:bCs/>
                      <w:color w:val="auto"/>
                      <w:szCs w:val="21"/>
                      <w:vertAlign w:val="superscript"/>
                    </w:rPr>
                    <w:t>2</w:t>
                  </w:r>
                  <w:r>
                    <w:rPr>
                      <w:b/>
                      <w:bCs/>
                      <w:color w:val="auto"/>
                      <w:szCs w:val="21"/>
                    </w:rPr>
                    <w:t>）</w:t>
                  </w:r>
                </w:p>
              </w:tc>
              <w:tc>
                <w:tcPr>
                  <w:tcW w:w="694" w:type="pct"/>
                  <w:tcBorders>
                    <w:tl2br w:val="nil"/>
                    <w:tr2bl w:val="nil"/>
                  </w:tcBorders>
                  <w:vAlign w:val="center"/>
                </w:tcPr>
                <w:p>
                  <w:pPr>
                    <w:adjustRightInd w:val="0"/>
                    <w:snapToGrid w:val="0"/>
                    <w:jc w:val="center"/>
                    <w:rPr>
                      <w:b/>
                      <w:bCs/>
                      <w:color w:val="auto"/>
                      <w:szCs w:val="21"/>
                    </w:rPr>
                  </w:pPr>
                  <w:r>
                    <w:rPr>
                      <w:b/>
                      <w:bCs/>
                      <w:color w:val="auto"/>
                      <w:szCs w:val="21"/>
                    </w:rPr>
                    <w:t>概化河长（km）</w:t>
                  </w:r>
                </w:p>
              </w:tc>
              <w:tc>
                <w:tcPr>
                  <w:tcW w:w="521" w:type="pct"/>
                  <w:tcBorders>
                    <w:tl2br w:val="nil"/>
                    <w:tr2bl w:val="nil"/>
                  </w:tcBorders>
                  <w:vAlign w:val="center"/>
                </w:tcPr>
                <w:p>
                  <w:pPr>
                    <w:adjustRightInd w:val="0"/>
                    <w:snapToGrid w:val="0"/>
                    <w:jc w:val="center"/>
                    <w:rPr>
                      <w:b/>
                      <w:bCs/>
                      <w:color w:val="auto"/>
                      <w:szCs w:val="21"/>
                    </w:rPr>
                  </w:pPr>
                  <w:r>
                    <w:rPr>
                      <w:b/>
                      <w:bCs/>
                      <w:color w:val="auto"/>
                      <w:szCs w:val="21"/>
                    </w:rPr>
                    <w:t>清浑比</w:t>
                  </w:r>
                </w:p>
              </w:tc>
              <w:tc>
                <w:tcPr>
                  <w:tcW w:w="826" w:type="pct"/>
                  <w:tcBorders>
                    <w:tl2br w:val="nil"/>
                    <w:tr2bl w:val="nil"/>
                  </w:tcBorders>
                  <w:vAlign w:val="center"/>
                </w:tcPr>
                <w:p>
                  <w:pPr>
                    <w:adjustRightInd w:val="0"/>
                    <w:snapToGrid w:val="0"/>
                    <w:jc w:val="center"/>
                    <w:rPr>
                      <w:b/>
                      <w:bCs/>
                      <w:color w:val="auto"/>
                      <w:szCs w:val="21"/>
                    </w:rPr>
                  </w:pPr>
                  <w:r>
                    <w:rPr>
                      <w:rFonts w:hint="eastAsia"/>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tcBorders>
                    <w:tl2br w:val="nil"/>
                    <w:tr2bl w:val="nil"/>
                  </w:tcBorders>
                  <w:vAlign w:val="center"/>
                </w:tcPr>
                <w:p>
                  <w:pPr>
                    <w:adjustRightInd w:val="0"/>
                    <w:snapToGrid w:val="0"/>
                    <w:rPr>
                      <w:color w:val="auto"/>
                      <w:szCs w:val="21"/>
                    </w:rPr>
                  </w:pPr>
                  <w:r>
                    <w:rPr>
                      <w:rFonts w:hint="eastAsia"/>
                      <w:color w:val="auto"/>
                      <w:szCs w:val="21"/>
                    </w:rPr>
                    <w:t>治理</w:t>
                  </w:r>
                </w:p>
                <w:p>
                  <w:pPr>
                    <w:adjustRightInd w:val="0"/>
                    <w:snapToGrid w:val="0"/>
                    <w:rPr>
                      <w:color w:val="auto"/>
                      <w:szCs w:val="21"/>
                    </w:rPr>
                  </w:pPr>
                  <w:r>
                    <w:rPr>
                      <w:rFonts w:hint="eastAsia"/>
                      <w:color w:val="auto"/>
                      <w:szCs w:val="21"/>
                    </w:rPr>
                    <w:t>工程</w:t>
                  </w:r>
                </w:p>
              </w:tc>
              <w:tc>
                <w:tcPr>
                  <w:tcW w:w="1135" w:type="pct"/>
                  <w:tcBorders>
                    <w:tl2br w:val="nil"/>
                    <w:tr2bl w:val="nil"/>
                  </w:tcBorders>
                  <w:vAlign w:val="center"/>
                </w:tcPr>
                <w:p>
                  <w:pPr>
                    <w:adjustRightInd w:val="0"/>
                    <w:snapToGrid w:val="0"/>
                    <w:jc w:val="center"/>
                    <w:rPr>
                      <w:color w:val="auto"/>
                      <w:szCs w:val="21"/>
                    </w:rPr>
                  </w:pPr>
                  <w:r>
                    <w:rPr>
                      <w:color w:val="auto"/>
                      <w:szCs w:val="21"/>
                    </w:rPr>
                    <w:t>1号</w:t>
                  </w:r>
                  <w:r>
                    <w:rPr>
                      <w:rFonts w:hint="eastAsia"/>
                      <w:color w:val="auto"/>
                      <w:szCs w:val="21"/>
                    </w:rPr>
                    <w:t>(</w:t>
                  </w:r>
                  <w:r>
                    <w:rPr>
                      <w:color w:val="auto"/>
                      <w:szCs w:val="21"/>
                    </w:rPr>
                    <w:t>范新庄水库</w:t>
                  </w:r>
                  <w:r>
                    <w:rPr>
                      <w:rFonts w:hint="eastAsia"/>
                      <w:color w:val="auto"/>
                      <w:szCs w:val="21"/>
                    </w:rPr>
                    <w:t>)</w:t>
                  </w:r>
                </w:p>
              </w:tc>
              <w:tc>
                <w:tcPr>
                  <w:tcW w:w="688" w:type="pct"/>
                  <w:tcBorders>
                    <w:tl2br w:val="nil"/>
                    <w:tr2bl w:val="nil"/>
                  </w:tcBorders>
                  <w:vAlign w:val="center"/>
                </w:tcPr>
                <w:p>
                  <w:pPr>
                    <w:adjustRightInd w:val="0"/>
                    <w:snapToGrid w:val="0"/>
                    <w:jc w:val="center"/>
                    <w:rPr>
                      <w:color w:val="auto"/>
                      <w:szCs w:val="21"/>
                    </w:rPr>
                  </w:pPr>
                  <w:r>
                    <w:rPr>
                      <w:rFonts w:hint="eastAsia"/>
                      <w:color w:val="auto"/>
                      <w:szCs w:val="21"/>
                    </w:rPr>
                    <w:t>7.19</w:t>
                  </w:r>
                </w:p>
              </w:tc>
              <w:tc>
                <w:tcPr>
                  <w:tcW w:w="693" w:type="pct"/>
                  <w:tcBorders>
                    <w:tl2br w:val="nil"/>
                    <w:tr2bl w:val="nil"/>
                  </w:tcBorders>
                  <w:vAlign w:val="center"/>
                </w:tcPr>
                <w:p>
                  <w:pPr>
                    <w:adjustRightInd w:val="0"/>
                    <w:snapToGrid w:val="0"/>
                    <w:jc w:val="center"/>
                    <w:rPr>
                      <w:color w:val="auto"/>
                      <w:szCs w:val="21"/>
                    </w:rPr>
                  </w:pPr>
                  <w:r>
                    <w:rPr>
                      <w:rFonts w:hint="eastAsia"/>
                      <w:color w:val="auto"/>
                      <w:szCs w:val="21"/>
                    </w:rPr>
                    <w:t>7.19</w:t>
                  </w:r>
                </w:p>
              </w:tc>
              <w:tc>
                <w:tcPr>
                  <w:tcW w:w="694" w:type="pct"/>
                  <w:tcBorders>
                    <w:tl2br w:val="nil"/>
                    <w:tr2bl w:val="nil"/>
                  </w:tcBorders>
                  <w:vAlign w:val="center"/>
                </w:tcPr>
                <w:p>
                  <w:pPr>
                    <w:adjustRightInd w:val="0"/>
                    <w:snapToGrid w:val="0"/>
                    <w:jc w:val="center"/>
                    <w:rPr>
                      <w:color w:val="auto"/>
                      <w:szCs w:val="21"/>
                    </w:rPr>
                  </w:pPr>
                  <w:r>
                    <w:rPr>
                      <w:rFonts w:hint="eastAsia"/>
                      <w:color w:val="auto"/>
                      <w:szCs w:val="21"/>
                    </w:rPr>
                    <w:t>4.4</w:t>
                  </w:r>
                </w:p>
              </w:tc>
              <w:tc>
                <w:tcPr>
                  <w:tcW w:w="521" w:type="pct"/>
                  <w:tcBorders>
                    <w:tl2br w:val="nil"/>
                    <w:tr2bl w:val="nil"/>
                  </w:tcBorders>
                  <w:vAlign w:val="center"/>
                </w:tcPr>
                <w:p>
                  <w:pPr>
                    <w:adjustRightInd w:val="0"/>
                    <w:snapToGrid w:val="0"/>
                    <w:jc w:val="center"/>
                    <w:rPr>
                      <w:color w:val="auto"/>
                      <w:szCs w:val="21"/>
                    </w:rPr>
                  </w:pPr>
                  <w:r>
                    <w:rPr>
                      <w:rFonts w:hint="eastAsia"/>
                      <w:color w:val="auto"/>
                      <w:szCs w:val="21"/>
                    </w:rPr>
                    <w:t>0.75</w:t>
                  </w:r>
                </w:p>
              </w:tc>
              <w:tc>
                <w:tcPr>
                  <w:tcW w:w="826" w:type="pct"/>
                  <w:tcBorders>
                    <w:tl2br w:val="nil"/>
                    <w:tr2bl w:val="nil"/>
                  </w:tcBorders>
                  <w:vAlign w:val="center"/>
                </w:tcPr>
                <w:p>
                  <w:pPr>
                    <w:adjustRightInd w:val="0"/>
                    <w:snapToGrid w:val="0"/>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tcBorders>
                    <w:tl2br w:val="nil"/>
                    <w:tr2bl w:val="nil"/>
                  </w:tcBorders>
                  <w:vAlign w:val="center"/>
                </w:tcPr>
                <w:p>
                  <w:pPr>
                    <w:adjustRightInd w:val="0"/>
                    <w:snapToGrid w:val="0"/>
                    <w:jc w:val="center"/>
                    <w:rPr>
                      <w:color w:val="auto"/>
                      <w:szCs w:val="21"/>
                    </w:rPr>
                  </w:pPr>
                </w:p>
              </w:tc>
              <w:tc>
                <w:tcPr>
                  <w:tcW w:w="1135" w:type="pct"/>
                  <w:tcBorders>
                    <w:tl2br w:val="nil"/>
                    <w:tr2bl w:val="nil"/>
                  </w:tcBorders>
                  <w:vAlign w:val="center"/>
                </w:tcPr>
                <w:p>
                  <w:pPr>
                    <w:adjustRightInd w:val="0"/>
                    <w:snapToGrid w:val="0"/>
                    <w:jc w:val="center"/>
                    <w:rPr>
                      <w:color w:val="auto"/>
                      <w:szCs w:val="21"/>
                    </w:rPr>
                  </w:pPr>
                  <w:r>
                    <w:rPr>
                      <w:color w:val="auto"/>
                      <w:szCs w:val="21"/>
                    </w:rPr>
                    <w:t>2号</w:t>
                  </w:r>
                  <w:r>
                    <w:rPr>
                      <w:rFonts w:hint="eastAsia"/>
                      <w:color w:val="auto"/>
                      <w:szCs w:val="21"/>
                    </w:rPr>
                    <w:t>(王洼二矿路)</w:t>
                  </w:r>
                </w:p>
              </w:tc>
              <w:tc>
                <w:tcPr>
                  <w:tcW w:w="688" w:type="pct"/>
                  <w:tcBorders>
                    <w:tl2br w:val="nil"/>
                    <w:tr2bl w:val="nil"/>
                  </w:tcBorders>
                  <w:vAlign w:val="center"/>
                </w:tcPr>
                <w:p>
                  <w:pPr>
                    <w:adjustRightInd w:val="0"/>
                    <w:snapToGrid w:val="0"/>
                    <w:jc w:val="center"/>
                    <w:rPr>
                      <w:color w:val="auto"/>
                      <w:szCs w:val="21"/>
                    </w:rPr>
                  </w:pPr>
                  <w:r>
                    <w:rPr>
                      <w:rFonts w:hint="eastAsia"/>
                      <w:color w:val="auto"/>
                      <w:szCs w:val="21"/>
                    </w:rPr>
                    <w:t>0.83</w:t>
                  </w:r>
                </w:p>
              </w:tc>
              <w:tc>
                <w:tcPr>
                  <w:tcW w:w="693" w:type="pct"/>
                  <w:tcBorders>
                    <w:tl2br w:val="nil"/>
                    <w:tr2bl w:val="nil"/>
                  </w:tcBorders>
                  <w:vAlign w:val="center"/>
                </w:tcPr>
                <w:p>
                  <w:pPr>
                    <w:adjustRightInd w:val="0"/>
                    <w:snapToGrid w:val="0"/>
                    <w:jc w:val="center"/>
                    <w:rPr>
                      <w:color w:val="auto"/>
                      <w:szCs w:val="21"/>
                    </w:rPr>
                  </w:pPr>
                  <w:r>
                    <w:rPr>
                      <w:rFonts w:hint="eastAsia"/>
                      <w:color w:val="auto"/>
                      <w:szCs w:val="21"/>
                    </w:rPr>
                    <w:t>8.02</w:t>
                  </w:r>
                </w:p>
              </w:tc>
              <w:tc>
                <w:tcPr>
                  <w:tcW w:w="694" w:type="pct"/>
                  <w:tcBorders>
                    <w:tl2br w:val="nil"/>
                    <w:tr2bl w:val="nil"/>
                  </w:tcBorders>
                  <w:vAlign w:val="center"/>
                </w:tcPr>
                <w:p>
                  <w:pPr>
                    <w:adjustRightInd w:val="0"/>
                    <w:snapToGrid w:val="0"/>
                    <w:jc w:val="center"/>
                    <w:rPr>
                      <w:color w:val="auto"/>
                      <w:szCs w:val="21"/>
                    </w:rPr>
                  </w:pPr>
                  <w:r>
                    <w:rPr>
                      <w:rFonts w:hint="eastAsia"/>
                      <w:color w:val="auto"/>
                      <w:szCs w:val="21"/>
                    </w:rPr>
                    <w:t>5.38</w:t>
                  </w:r>
                </w:p>
              </w:tc>
              <w:tc>
                <w:tcPr>
                  <w:tcW w:w="521" w:type="pct"/>
                  <w:tcBorders>
                    <w:tl2br w:val="nil"/>
                    <w:tr2bl w:val="nil"/>
                  </w:tcBorders>
                  <w:vAlign w:val="center"/>
                </w:tcPr>
                <w:p>
                  <w:pPr>
                    <w:adjustRightInd w:val="0"/>
                    <w:snapToGrid w:val="0"/>
                    <w:jc w:val="center"/>
                    <w:rPr>
                      <w:color w:val="auto"/>
                      <w:szCs w:val="21"/>
                    </w:rPr>
                  </w:pPr>
                  <w:r>
                    <w:rPr>
                      <w:rFonts w:hint="eastAsia"/>
                      <w:color w:val="auto"/>
                      <w:szCs w:val="21"/>
                    </w:rPr>
                    <w:t>0.75</w:t>
                  </w:r>
                </w:p>
              </w:tc>
              <w:tc>
                <w:tcPr>
                  <w:tcW w:w="826" w:type="pct"/>
                  <w:tcBorders>
                    <w:tl2br w:val="nil"/>
                    <w:tr2bl w:val="nil"/>
                  </w:tcBorders>
                  <w:vAlign w:val="center"/>
                </w:tcPr>
                <w:p>
                  <w:pPr>
                    <w:adjustRightInd w:val="0"/>
                    <w:snapToGrid w:val="0"/>
                    <w:jc w:val="center"/>
                    <w:rPr>
                      <w:color w:val="auto"/>
                      <w:szCs w:val="21"/>
                    </w:rPr>
                  </w:pPr>
                  <w:r>
                    <w:rPr>
                      <w:rFonts w:hint="eastAsia"/>
                      <w:color w:val="auto"/>
                      <w:szCs w:val="21"/>
                    </w:rPr>
                    <w:t>与1号累加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tcBorders>
                    <w:tl2br w:val="nil"/>
                    <w:tr2bl w:val="nil"/>
                  </w:tcBorders>
                  <w:vAlign w:val="center"/>
                </w:tcPr>
                <w:p>
                  <w:pPr>
                    <w:adjustRightInd w:val="0"/>
                    <w:snapToGrid w:val="0"/>
                    <w:jc w:val="center"/>
                    <w:rPr>
                      <w:color w:val="auto"/>
                      <w:szCs w:val="21"/>
                    </w:rPr>
                  </w:pPr>
                </w:p>
              </w:tc>
              <w:tc>
                <w:tcPr>
                  <w:tcW w:w="1135" w:type="pct"/>
                  <w:tcBorders>
                    <w:tl2br w:val="nil"/>
                    <w:tr2bl w:val="nil"/>
                  </w:tcBorders>
                  <w:vAlign w:val="center"/>
                </w:tcPr>
                <w:p>
                  <w:pPr>
                    <w:adjustRightInd w:val="0"/>
                    <w:snapToGrid w:val="0"/>
                    <w:rPr>
                      <w:color w:val="auto"/>
                      <w:szCs w:val="21"/>
                    </w:rPr>
                  </w:pPr>
                  <w:r>
                    <w:rPr>
                      <w:rFonts w:hint="eastAsia"/>
                      <w:color w:val="auto"/>
                      <w:szCs w:val="21"/>
                    </w:rPr>
                    <w:t>3</w:t>
                  </w:r>
                  <w:r>
                    <w:rPr>
                      <w:color w:val="auto"/>
                      <w:szCs w:val="21"/>
                    </w:rPr>
                    <w:t>号</w:t>
                  </w:r>
                  <w:r>
                    <w:rPr>
                      <w:rFonts w:hint="eastAsia"/>
                      <w:color w:val="auto"/>
                      <w:szCs w:val="21"/>
                    </w:rPr>
                    <w:t>（已建拦渣坝）</w:t>
                  </w:r>
                </w:p>
              </w:tc>
              <w:tc>
                <w:tcPr>
                  <w:tcW w:w="688" w:type="pct"/>
                  <w:tcBorders>
                    <w:tl2br w:val="nil"/>
                    <w:tr2bl w:val="nil"/>
                  </w:tcBorders>
                  <w:vAlign w:val="center"/>
                </w:tcPr>
                <w:p>
                  <w:pPr>
                    <w:adjustRightInd w:val="0"/>
                    <w:snapToGrid w:val="0"/>
                    <w:jc w:val="center"/>
                    <w:rPr>
                      <w:color w:val="auto"/>
                      <w:szCs w:val="21"/>
                    </w:rPr>
                  </w:pPr>
                  <w:r>
                    <w:rPr>
                      <w:rFonts w:hint="eastAsia"/>
                      <w:color w:val="auto"/>
                      <w:szCs w:val="21"/>
                    </w:rPr>
                    <w:t>0.69</w:t>
                  </w:r>
                </w:p>
              </w:tc>
              <w:tc>
                <w:tcPr>
                  <w:tcW w:w="693" w:type="pct"/>
                  <w:tcBorders>
                    <w:tl2br w:val="nil"/>
                    <w:tr2bl w:val="nil"/>
                  </w:tcBorders>
                  <w:vAlign w:val="center"/>
                </w:tcPr>
                <w:p>
                  <w:pPr>
                    <w:adjustRightInd w:val="0"/>
                    <w:snapToGrid w:val="0"/>
                    <w:jc w:val="center"/>
                    <w:rPr>
                      <w:color w:val="auto"/>
                      <w:szCs w:val="21"/>
                    </w:rPr>
                  </w:pPr>
                  <w:r>
                    <w:rPr>
                      <w:rFonts w:hint="eastAsia"/>
                      <w:color w:val="auto"/>
                      <w:szCs w:val="21"/>
                    </w:rPr>
                    <w:t>8.71</w:t>
                  </w:r>
                </w:p>
              </w:tc>
              <w:tc>
                <w:tcPr>
                  <w:tcW w:w="694" w:type="pct"/>
                  <w:tcBorders>
                    <w:tl2br w:val="nil"/>
                    <w:tr2bl w:val="nil"/>
                  </w:tcBorders>
                  <w:vAlign w:val="center"/>
                </w:tcPr>
                <w:p>
                  <w:pPr>
                    <w:adjustRightInd w:val="0"/>
                    <w:snapToGrid w:val="0"/>
                    <w:jc w:val="center"/>
                    <w:rPr>
                      <w:color w:val="auto"/>
                      <w:szCs w:val="21"/>
                    </w:rPr>
                  </w:pPr>
                  <w:r>
                    <w:rPr>
                      <w:rFonts w:hint="eastAsia"/>
                      <w:color w:val="auto"/>
                      <w:szCs w:val="21"/>
                    </w:rPr>
                    <w:t>5.88</w:t>
                  </w:r>
                </w:p>
              </w:tc>
              <w:tc>
                <w:tcPr>
                  <w:tcW w:w="521" w:type="pct"/>
                  <w:tcBorders>
                    <w:tl2br w:val="nil"/>
                    <w:tr2bl w:val="nil"/>
                  </w:tcBorders>
                  <w:vAlign w:val="center"/>
                </w:tcPr>
                <w:p>
                  <w:pPr>
                    <w:adjustRightInd w:val="0"/>
                    <w:snapToGrid w:val="0"/>
                    <w:jc w:val="center"/>
                    <w:rPr>
                      <w:color w:val="auto"/>
                      <w:szCs w:val="21"/>
                    </w:rPr>
                  </w:pPr>
                  <w:r>
                    <w:rPr>
                      <w:rFonts w:hint="eastAsia"/>
                      <w:color w:val="auto"/>
                      <w:szCs w:val="21"/>
                    </w:rPr>
                    <w:t>0.75</w:t>
                  </w:r>
                </w:p>
              </w:tc>
              <w:tc>
                <w:tcPr>
                  <w:tcW w:w="826" w:type="pct"/>
                  <w:tcBorders>
                    <w:tl2br w:val="nil"/>
                    <w:tr2bl w:val="nil"/>
                  </w:tcBorders>
                  <w:vAlign w:val="center"/>
                </w:tcPr>
                <w:p>
                  <w:pPr>
                    <w:adjustRightInd w:val="0"/>
                    <w:snapToGrid w:val="0"/>
                    <w:jc w:val="center"/>
                    <w:rPr>
                      <w:color w:val="auto"/>
                      <w:szCs w:val="21"/>
                    </w:rPr>
                  </w:pPr>
                  <w:r>
                    <w:rPr>
                      <w:rFonts w:hint="eastAsia"/>
                      <w:color w:val="auto"/>
                      <w:szCs w:val="21"/>
                    </w:rPr>
                    <w:t>与2号累加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tcBorders>
                    <w:tl2br w:val="nil"/>
                    <w:tr2bl w:val="nil"/>
                  </w:tcBorders>
                  <w:vAlign w:val="center"/>
                </w:tcPr>
                <w:p>
                  <w:pPr>
                    <w:adjustRightInd w:val="0"/>
                    <w:snapToGrid w:val="0"/>
                    <w:jc w:val="center"/>
                    <w:rPr>
                      <w:color w:val="auto"/>
                      <w:szCs w:val="21"/>
                    </w:rPr>
                  </w:pPr>
                </w:p>
              </w:tc>
              <w:tc>
                <w:tcPr>
                  <w:tcW w:w="1135" w:type="pct"/>
                  <w:tcBorders>
                    <w:tl2br w:val="nil"/>
                    <w:tr2bl w:val="nil"/>
                  </w:tcBorders>
                  <w:vAlign w:val="center"/>
                </w:tcPr>
                <w:p>
                  <w:pPr>
                    <w:adjustRightInd w:val="0"/>
                    <w:snapToGrid w:val="0"/>
                    <w:jc w:val="center"/>
                    <w:rPr>
                      <w:color w:val="auto"/>
                      <w:szCs w:val="21"/>
                    </w:rPr>
                  </w:pPr>
                  <w:r>
                    <w:rPr>
                      <w:rFonts w:hint="eastAsia"/>
                      <w:color w:val="auto"/>
                      <w:szCs w:val="21"/>
                    </w:rPr>
                    <w:t>王洼二矿路涵管</w:t>
                  </w:r>
                </w:p>
              </w:tc>
              <w:tc>
                <w:tcPr>
                  <w:tcW w:w="688" w:type="pct"/>
                  <w:tcBorders>
                    <w:tl2br w:val="nil"/>
                    <w:tr2bl w:val="nil"/>
                  </w:tcBorders>
                  <w:vAlign w:val="center"/>
                </w:tcPr>
                <w:p>
                  <w:pPr>
                    <w:adjustRightInd w:val="0"/>
                    <w:snapToGrid w:val="0"/>
                    <w:jc w:val="center"/>
                    <w:rPr>
                      <w:color w:val="auto"/>
                      <w:szCs w:val="21"/>
                    </w:rPr>
                  </w:pPr>
                  <w:r>
                    <w:rPr>
                      <w:rFonts w:hint="eastAsia"/>
                      <w:color w:val="auto"/>
                      <w:szCs w:val="21"/>
                    </w:rPr>
                    <w:t>0.68</w:t>
                  </w:r>
                </w:p>
              </w:tc>
              <w:tc>
                <w:tcPr>
                  <w:tcW w:w="693" w:type="pct"/>
                  <w:tcBorders>
                    <w:tl2br w:val="nil"/>
                    <w:tr2bl w:val="nil"/>
                  </w:tcBorders>
                  <w:vAlign w:val="center"/>
                </w:tcPr>
                <w:p>
                  <w:pPr>
                    <w:adjustRightInd w:val="0"/>
                    <w:snapToGrid w:val="0"/>
                    <w:jc w:val="center"/>
                    <w:rPr>
                      <w:color w:val="auto"/>
                      <w:szCs w:val="21"/>
                    </w:rPr>
                  </w:pPr>
                  <w:r>
                    <w:rPr>
                      <w:rFonts w:hint="eastAsia"/>
                      <w:color w:val="auto"/>
                      <w:szCs w:val="21"/>
                    </w:rPr>
                    <w:t>0.68</w:t>
                  </w:r>
                </w:p>
              </w:tc>
              <w:tc>
                <w:tcPr>
                  <w:tcW w:w="694" w:type="pct"/>
                  <w:tcBorders>
                    <w:tl2br w:val="nil"/>
                    <w:tr2bl w:val="nil"/>
                  </w:tcBorders>
                  <w:vAlign w:val="center"/>
                </w:tcPr>
                <w:p>
                  <w:pPr>
                    <w:adjustRightInd w:val="0"/>
                    <w:snapToGrid w:val="0"/>
                    <w:jc w:val="center"/>
                    <w:rPr>
                      <w:color w:val="auto"/>
                      <w:szCs w:val="21"/>
                    </w:rPr>
                  </w:pPr>
                  <w:r>
                    <w:rPr>
                      <w:rFonts w:hint="eastAsia"/>
                      <w:color w:val="auto"/>
                      <w:szCs w:val="21"/>
                    </w:rPr>
                    <w:t>1.12</w:t>
                  </w:r>
                </w:p>
              </w:tc>
              <w:tc>
                <w:tcPr>
                  <w:tcW w:w="521" w:type="pct"/>
                  <w:tcBorders>
                    <w:tl2br w:val="nil"/>
                    <w:tr2bl w:val="nil"/>
                  </w:tcBorders>
                  <w:vAlign w:val="center"/>
                </w:tcPr>
                <w:p>
                  <w:pPr>
                    <w:adjustRightInd w:val="0"/>
                    <w:snapToGrid w:val="0"/>
                    <w:jc w:val="center"/>
                    <w:rPr>
                      <w:color w:val="auto"/>
                      <w:szCs w:val="21"/>
                    </w:rPr>
                  </w:pPr>
                  <w:r>
                    <w:rPr>
                      <w:rFonts w:hint="eastAsia"/>
                      <w:color w:val="auto"/>
                      <w:szCs w:val="21"/>
                    </w:rPr>
                    <w:t>0.75</w:t>
                  </w:r>
                </w:p>
              </w:tc>
              <w:tc>
                <w:tcPr>
                  <w:tcW w:w="826" w:type="pct"/>
                  <w:tcBorders>
                    <w:tl2br w:val="nil"/>
                    <w:tr2bl w:val="nil"/>
                  </w:tcBorders>
                  <w:vAlign w:val="center"/>
                </w:tcPr>
                <w:p>
                  <w:pPr>
                    <w:adjustRightInd w:val="0"/>
                    <w:snapToGrid w:val="0"/>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tcBorders>
                    <w:tl2br w:val="nil"/>
                    <w:tr2bl w:val="nil"/>
                  </w:tcBorders>
                  <w:vAlign w:val="center"/>
                </w:tcPr>
                <w:p>
                  <w:pPr>
                    <w:adjustRightInd w:val="0"/>
                    <w:snapToGrid w:val="0"/>
                    <w:jc w:val="center"/>
                    <w:rPr>
                      <w:color w:val="auto"/>
                      <w:szCs w:val="21"/>
                    </w:rPr>
                  </w:pPr>
                </w:p>
              </w:tc>
              <w:tc>
                <w:tcPr>
                  <w:tcW w:w="1135" w:type="pct"/>
                  <w:tcBorders>
                    <w:tl2br w:val="nil"/>
                    <w:tr2bl w:val="nil"/>
                  </w:tcBorders>
                  <w:vAlign w:val="center"/>
                </w:tcPr>
                <w:p>
                  <w:pPr>
                    <w:adjustRightInd w:val="0"/>
                    <w:snapToGrid w:val="0"/>
                    <w:jc w:val="center"/>
                    <w:rPr>
                      <w:color w:val="auto"/>
                      <w:szCs w:val="21"/>
                    </w:rPr>
                  </w:pPr>
                  <w:r>
                    <w:rPr>
                      <w:rFonts w:hint="eastAsia"/>
                      <w:color w:val="auto"/>
                      <w:szCs w:val="21"/>
                    </w:rPr>
                    <w:t>王洼二矿井口</w:t>
                  </w:r>
                </w:p>
              </w:tc>
              <w:tc>
                <w:tcPr>
                  <w:tcW w:w="688" w:type="pct"/>
                  <w:tcBorders>
                    <w:tl2br w:val="nil"/>
                    <w:tr2bl w:val="nil"/>
                  </w:tcBorders>
                  <w:vAlign w:val="center"/>
                </w:tcPr>
                <w:p>
                  <w:pPr>
                    <w:adjustRightInd w:val="0"/>
                    <w:snapToGrid w:val="0"/>
                    <w:jc w:val="center"/>
                    <w:rPr>
                      <w:color w:val="auto"/>
                      <w:szCs w:val="21"/>
                    </w:rPr>
                  </w:pPr>
                  <w:r>
                    <w:rPr>
                      <w:rFonts w:hint="eastAsia"/>
                      <w:color w:val="auto"/>
                      <w:szCs w:val="21"/>
                    </w:rPr>
                    <w:t>9.01</w:t>
                  </w:r>
                </w:p>
              </w:tc>
              <w:tc>
                <w:tcPr>
                  <w:tcW w:w="693" w:type="pct"/>
                  <w:tcBorders>
                    <w:tl2br w:val="nil"/>
                    <w:tr2bl w:val="nil"/>
                  </w:tcBorders>
                  <w:vAlign w:val="center"/>
                </w:tcPr>
                <w:p>
                  <w:pPr>
                    <w:adjustRightInd w:val="0"/>
                    <w:snapToGrid w:val="0"/>
                    <w:jc w:val="center"/>
                    <w:rPr>
                      <w:color w:val="auto"/>
                      <w:szCs w:val="21"/>
                    </w:rPr>
                  </w:pPr>
                  <w:r>
                    <w:rPr>
                      <w:rFonts w:hint="eastAsia"/>
                      <w:color w:val="auto"/>
                      <w:szCs w:val="21"/>
                    </w:rPr>
                    <w:t>9.01</w:t>
                  </w:r>
                </w:p>
              </w:tc>
              <w:tc>
                <w:tcPr>
                  <w:tcW w:w="694" w:type="pct"/>
                  <w:tcBorders>
                    <w:tl2br w:val="nil"/>
                    <w:tr2bl w:val="nil"/>
                  </w:tcBorders>
                  <w:vAlign w:val="center"/>
                </w:tcPr>
                <w:p>
                  <w:pPr>
                    <w:adjustRightInd w:val="0"/>
                    <w:snapToGrid w:val="0"/>
                    <w:jc w:val="center"/>
                    <w:rPr>
                      <w:color w:val="auto"/>
                      <w:szCs w:val="21"/>
                    </w:rPr>
                  </w:pPr>
                  <w:r>
                    <w:rPr>
                      <w:rFonts w:hint="eastAsia"/>
                      <w:color w:val="auto"/>
                      <w:szCs w:val="21"/>
                    </w:rPr>
                    <w:t>5.59</w:t>
                  </w:r>
                </w:p>
              </w:tc>
              <w:tc>
                <w:tcPr>
                  <w:tcW w:w="521" w:type="pct"/>
                  <w:tcBorders>
                    <w:tl2br w:val="nil"/>
                    <w:tr2bl w:val="nil"/>
                  </w:tcBorders>
                  <w:vAlign w:val="center"/>
                </w:tcPr>
                <w:p>
                  <w:pPr>
                    <w:adjustRightInd w:val="0"/>
                    <w:snapToGrid w:val="0"/>
                    <w:jc w:val="center"/>
                    <w:rPr>
                      <w:color w:val="auto"/>
                      <w:szCs w:val="21"/>
                    </w:rPr>
                  </w:pPr>
                  <w:r>
                    <w:rPr>
                      <w:rFonts w:hint="eastAsia"/>
                      <w:color w:val="auto"/>
                      <w:szCs w:val="21"/>
                    </w:rPr>
                    <w:t>0.75</w:t>
                  </w:r>
                </w:p>
              </w:tc>
              <w:tc>
                <w:tcPr>
                  <w:tcW w:w="826" w:type="pct"/>
                  <w:tcBorders>
                    <w:tl2br w:val="nil"/>
                    <w:tr2bl w:val="nil"/>
                  </w:tcBorders>
                  <w:vAlign w:val="center"/>
                </w:tcPr>
                <w:p>
                  <w:pPr>
                    <w:adjustRightInd w:val="0"/>
                    <w:snapToGrid w:val="0"/>
                    <w:jc w:val="center"/>
                    <w:rPr>
                      <w:color w:val="auto"/>
                      <w:szCs w:val="21"/>
                    </w:rPr>
                  </w:pPr>
                  <w:r>
                    <w:rPr>
                      <w:rFonts w:hint="eastAsia"/>
                      <w:color w:val="auto"/>
                      <w:szCs w:val="21"/>
                    </w:rPr>
                    <w:t>--</w:t>
                  </w:r>
                </w:p>
              </w:tc>
            </w:tr>
          </w:tbl>
          <w:p>
            <w:pPr>
              <w:pStyle w:val="41"/>
              <w:widowControl w:val="0"/>
              <w:adjustRightInd w:val="0"/>
              <w:snapToGrid w:val="0"/>
              <w:spacing w:line="240" w:lineRule="auto"/>
              <w:ind w:firstLine="0" w:firstLineChars="0"/>
              <w:jc w:val="center"/>
              <w:rPr>
                <w:color w:val="auto"/>
              </w:rPr>
            </w:pPr>
            <w:r>
              <w:rPr>
                <w:color w:val="auto"/>
              </w:rPr>
              <w:drawing>
                <wp:inline distT="0" distB="0" distL="114300" distR="114300">
                  <wp:extent cx="4248785" cy="4248150"/>
                  <wp:effectExtent l="19050" t="19050" r="18415" b="19050"/>
                  <wp:docPr id="9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8"/>
                          <pic:cNvPicPr>
                            <a:picLocks noChangeAspect="1"/>
                          </pic:cNvPicPr>
                        </pic:nvPicPr>
                        <pic:blipFill>
                          <a:blip r:embed="rId36"/>
                          <a:srcRect t="5038"/>
                          <a:stretch>
                            <a:fillRect/>
                          </a:stretch>
                        </pic:blipFill>
                        <pic:spPr>
                          <a:xfrm>
                            <a:off x="0" y="0"/>
                            <a:ext cx="4263240" cy="4261978"/>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35"/>
              <w:spacing w:beforeLines="0" w:after="0" w:afterLines="0" w:line="240" w:lineRule="auto"/>
              <w:rPr>
                <w:rFonts w:ascii="Times New Roman"/>
                <w:b/>
                <w:bCs/>
                <w:color w:val="auto"/>
                <w:sz w:val="24"/>
                <w:szCs w:val="32"/>
              </w:rPr>
            </w:pPr>
            <w:r>
              <w:rPr>
                <w:rFonts w:ascii="Times New Roman"/>
                <w:b/>
                <w:bCs/>
                <w:color w:val="auto"/>
                <w:sz w:val="24"/>
                <w:szCs w:val="32"/>
              </w:rPr>
              <w:t>图2</w:t>
            </w:r>
            <w:r>
              <w:rPr>
                <w:rFonts w:hint="eastAsia" w:ascii="Times New Roman"/>
                <w:b/>
                <w:bCs/>
                <w:color w:val="auto"/>
                <w:sz w:val="24"/>
                <w:szCs w:val="32"/>
              </w:rPr>
              <w:t>-</w:t>
            </w:r>
            <w:r>
              <w:rPr>
                <w:rFonts w:ascii="Times New Roman"/>
                <w:b/>
                <w:bCs/>
                <w:color w:val="auto"/>
                <w:sz w:val="24"/>
                <w:szCs w:val="32"/>
              </w:rPr>
              <w:t xml:space="preserve">9    </w:t>
            </w:r>
            <w:r>
              <w:rPr>
                <w:rFonts w:hint="eastAsia" w:ascii="Times New Roman"/>
                <w:b/>
                <w:bCs/>
                <w:color w:val="auto"/>
                <w:sz w:val="24"/>
                <w:szCs w:val="32"/>
              </w:rPr>
              <w:t xml:space="preserve">       </w:t>
            </w:r>
            <w:r>
              <w:rPr>
                <w:rFonts w:ascii="Times New Roman"/>
                <w:b/>
                <w:bCs/>
                <w:color w:val="auto"/>
                <w:sz w:val="24"/>
                <w:szCs w:val="32"/>
              </w:rPr>
              <w:t xml:space="preserve"> </w:t>
            </w:r>
            <w:r>
              <w:rPr>
                <w:rFonts w:hint="eastAsia" w:ascii="Times New Roman"/>
                <w:b/>
                <w:bCs/>
                <w:color w:val="auto"/>
                <w:sz w:val="24"/>
                <w:szCs w:val="32"/>
              </w:rPr>
              <w:t>单侧排洪渠</w:t>
            </w:r>
            <w:r>
              <w:rPr>
                <w:rFonts w:ascii="Times New Roman"/>
                <w:b/>
                <w:bCs/>
                <w:color w:val="auto"/>
                <w:sz w:val="24"/>
                <w:szCs w:val="32"/>
              </w:rPr>
              <w:t>计算断面布置图</w:t>
            </w:r>
          </w:p>
          <w:p>
            <w:pPr>
              <w:adjustRightInd w:val="0"/>
              <w:snapToGrid w:val="0"/>
              <w:spacing w:line="360" w:lineRule="auto"/>
              <w:ind w:firstLine="482" w:firstLineChars="200"/>
              <w:jc w:val="left"/>
              <w:rPr>
                <w:b/>
                <w:color w:val="auto"/>
                <w:kern w:val="0"/>
                <w:sz w:val="24"/>
                <w:lang w:bidi="ar"/>
              </w:rPr>
            </w:pPr>
            <w:bookmarkStart w:id="29" w:name="_Toc84597729"/>
            <w:r>
              <w:rPr>
                <w:b/>
                <w:color w:val="auto"/>
                <w:kern w:val="0"/>
                <w:sz w:val="24"/>
                <w:lang w:bidi="ar"/>
              </w:rPr>
              <w:fldChar w:fldCharType="begin"/>
            </w:r>
            <w:r>
              <w:rPr>
                <w:b/>
                <w:color w:val="auto"/>
                <w:kern w:val="0"/>
                <w:sz w:val="24"/>
                <w:lang w:bidi="ar"/>
              </w:rPr>
              <w:instrText xml:space="preserve"> = 2 \* GB2 \* MERGEFORMAT </w:instrText>
            </w:r>
            <w:r>
              <w:rPr>
                <w:b/>
                <w:color w:val="auto"/>
                <w:kern w:val="0"/>
                <w:sz w:val="24"/>
                <w:lang w:bidi="ar"/>
              </w:rPr>
              <w:fldChar w:fldCharType="separate"/>
            </w:r>
            <w:r>
              <w:rPr>
                <w:b/>
                <w:color w:val="auto"/>
                <w:kern w:val="0"/>
                <w:sz w:val="24"/>
                <w:lang w:bidi="ar"/>
              </w:rPr>
              <w:t>⑵</w:t>
            </w:r>
            <w:r>
              <w:rPr>
                <w:b/>
                <w:color w:val="auto"/>
                <w:kern w:val="0"/>
                <w:sz w:val="24"/>
                <w:lang w:bidi="ar"/>
              </w:rPr>
              <w:fldChar w:fldCharType="end"/>
            </w:r>
            <w:bookmarkEnd w:id="29"/>
            <w:r>
              <w:rPr>
                <w:rFonts w:hint="eastAsia"/>
                <w:b/>
                <w:color w:val="auto"/>
                <w:kern w:val="0"/>
                <w:sz w:val="24"/>
                <w:lang w:bidi="ar"/>
              </w:rPr>
              <w:t>采用24h典型雨型</w:t>
            </w:r>
          </w:p>
          <w:p>
            <w:pPr>
              <w:pStyle w:val="41"/>
              <w:widowControl w:val="0"/>
              <w:ind w:firstLine="480"/>
              <w:rPr>
                <w:color w:val="auto"/>
              </w:rPr>
            </w:pPr>
            <w:r>
              <w:rPr>
                <w:rFonts w:hint="eastAsia"/>
                <w:color w:val="auto"/>
              </w:rPr>
              <w:t>依据24点雨量均值等值线图，查得项目区域24h点雨量均值为52.5mm，Cv为0.52，Cs=3.5Cv，《宁夏暴雨洪水图集（2019年版）》查算不同断面点面雨量折减系数，设计暴雨点雨量见表2-</w:t>
            </w:r>
            <w:r>
              <w:rPr>
                <w:color w:val="auto"/>
              </w:rPr>
              <w:t>10</w:t>
            </w:r>
            <w:r>
              <w:rPr>
                <w:rFonts w:hint="eastAsia"/>
                <w:color w:val="auto"/>
              </w:rPr>
              <w:t>。</w:t>
            </w:r>
          </w:p>
          <w:p>
            <w:pPr>
              <w:pStyle w:val="41"/>
              <w:widowControl w:val="0"/>
              <w:ind w:firstLine="480"/>
              <w:rPr>
                <w:color w:val="auto"/>
              </w:rPr>
            </w:pPr>
          </w:p>
          <w:p>
            <w:pPr>
              <w:ind w:firstLine="480"/>
              <w:rPr>
                <w:b/>
                <w:bCs/>
                <w:color w:val="auto"/>
                <w:sz w:val="24"/>
                <w:szCs w:val="32"/>
              </w:rPr>
            </w:pPr>
            <w:r>
              <w:rPr>
                <w:b/>
                <w:bCs/>
                <w:color w:val="auto"/>
                <w:sz w:val="24"/>
                <w:szCs w:val="32"/>
              </w:rPr>
              <w:t>表2</w:t>
            </w:r>
            <w:r>
              <w:rPr>
                <w:rFonts w:hint="eastAsia"/>
                <w:b/>
                <w:bCs/>
                <w:color w:val="auto"/>
                <w:sz w:val="24"/>
                <w:szCs w:val="32"/>
              </w:rPr>
              <w:t>-</w:t>
            </w:r>
            <w:r>
              <w:rPr>
                <w:b/>
                <w:bCs/>
                <w:color w:val="auto"/>
                <w:sz w:val="24"/>
                <w:szCs w:val="32"/>
              </w:rPr>
              <w:t xml:space="preserve">10 </w:t>
            </w:r>
            <w:r>
              <w:rPr>
                <w:rFonts w:hint="eastAsia"/>
                <w:b/>
                <w:bCs/>
                <w:color w:val="auto"/>
                <w:sz w:val="24"/>
                <w:szCs w:val="32"/>
              </w:rPr>
              <w:t xml:space="preserve">           </w:t>
            </w:r>
            <w:r>
              <w:rPr>
                <w:b/>
                <w:bCs/>
                <w:color w:val="auto"/>
                <w:sz w:val="24"/>
                <w:szCs w:val="32"/>
              </w:rPr>
              <w:t xml:space="preserve"> 不同频率设计点雨量表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624"/>
              <w:gridCol w:w="1208"/>
              <w:gridCol w:w="1208"/>
              <w:gridCol w:w="1208"/>
              <w:gridCol w:w="12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1" w:type="pct"/>
                  <w:vMerge w:val="restart"/>
                  <w:vAlign w:val="center"/>
                </w:tcPr>
                <w:p>
                  <w:pPr>
                    <w:jc w:val="center"/>
                    <w:rPr>
                      <w:color w:val="auto"/>
                      <w:szCs w:val="21"/>
                    </w:rPr>
                  </w:pPr>
                  <w:r>
                    <w:rPr>
                      <w:color w:val="auto"/>
                      <w:szCs w:val="21"/>
                    </w:rPr>
                    <w:t>点雨量均值</w:t>
                  </w:r>
                </w:p>
              </w:tc>
              <w:tc>
                <w:tcPr>
                  <w:tcW w:w="972" w:type="pct"/>
                  <w:vMerge w:val="restart"/>
                  <w:vAlign w:val="center"/>
                </w:tcPr>
                <w:p>
                  <w:pPr>
                    <w:jc w:val="center"/>
                    <w:rPr>
                      <w:color w:val="auto"/>
                      <w:szCs w:val="21"/>
                    </w:rPr>
                  </w:pPr>
                  <w:r>
                    <w:rPr>
                      <w:color w:val="auto"/>
                      <w:szCs w:val="21"/>
                    </w:rPr>
                    <w:t>设计</w:t>
                  </w:r>
                </w:p>
                <w:p>
                  <w:pPr>
                    <w:jc w:val="center"/>
                    <w:rPr>
                      <w:color w:val="auto"/>
                      <w:szCs w:val="21"/>
                    </w:rPr>
                  </w:pPr>
                  <w:r>
                    <w:rPr>
                      <w:color w:val="auto"/>
                      <w:szCs w:val="21"/>
                    </w:rPr>
                    <w:t>雨量</w:t>
                  </w:r>
                </w:p>
              </w:tc>
              <w:tc>
                <w:tcPr>
                  <w:tcW w:w="2896" w:type="pct"/>
                  <w:gridSpan w:val="4"/>
                  <w:vAlign w:val="center"/>
                </w:tcPr>
                <w:p>
                  <w:pPr>
                    <w:jc w:val="center"/>
                    <w:rPr>
                      <w:color w:val="auto"/>
                      <w:szCs w:val="21"/>
                    </w:rPr>
                  </w:pPr>
                  <w:r>
                    <w:rPr>
                      <w:color w:val="auto"/>
                      <w:szCs w:val="21"/>
                    </w:rPr>
                    <w:t>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1" w:type="pct"/>
                  <w:vMerge w:val="continue"/>
                  <w:vAlign w:val="center"/>
                </w:tcPr>
                <w:p>
                  <w:pPr>
                    <w:jc w:val="center"/>
                    <w:rPr>
                      <w:color w:val="auto"/>
                      <w:szCs w:val="21"/>
                    </w:rPr>
                  </w:pPr>
                </w:p>
              </w:tc>
              <w:tc>
                <w:tcPr>
                  <w:tcW w:w="972" w:type="pct"/>
                  <w:vMerge w:val="continue"/>
                  <w:vAlign w:val="center"/>
                </w:tcPr>
                <w:p>
                  <w:pPr>
                    <w:jc w:val="center"/>
                    <w:rPr>
                      <w:color w:val="auto"/>
                      <w:szCs w:val="21"/>
                    </w:rPr>
                  </w:pPr>
                </w:p>
              </w:tc>
              <w:tc>
                <w:tcPr>
                  <w:tcW w:w="723" w:type="pct"/>
                  <w:vAlign w:val="center"/>
                </w:tcPr>
                <w:p>
                  <w:pPr>
                    <w:jc w:val="center"/>
                    <w:rPr>
                      <w:color w:val="auto"/>
                      <w:szCs w:val="21"/>
                    </w:rPr>
                  </w:pPr>
                  <w:r>
                    <w:rPr>
                      <w:color w:val="auto"/>
                      <w:szCs w:val="21"/>
                    </w:rPr>
                    <w:t>0.33</w:t>
                  </w:r>
                </w:p>
              </w:tc>
              <w:tc>
                <w:tcPr>
                  <w:tcW w:w="723" w:type="pct"/>
                  <w:vAlign w:val="center"/>
                </w:tcPr>
                <w:p>
                  <w:pPr>
                    <w:jc w:val="center"/>
                    <w:rPr>
                      <w:color w:val="auto"/>
                      <w:szCs w:val="21"/>
                    </w:rPr>
                  </w:pPr>
                  <w:r>
                    <w:rPr>
                      <w:color w:val="auto"/>
                      <w:szCs w:val="21"/>
                    </w:rPr>
                    <w:t>1</w:t>
                  </w:r>
                </w:p>
              </w:tc>
              <w:tc>
                <w:tcPr>
                  <w:tcW w:w="723" w:type="pct"/>
                  <w:vAlign w:val="center"/>
                </w:tcPr>
                <w:p>
                  <w:pPr>
                    <w:jc w:val="center"/>
                    <w:rPr>
                      <w:color w:val="auto"/>
                      <w:szCs w:val="21"/>
                    </w:rPr>
                  </w:pPr>
                  <w:r>
                    <w:rPr>
                      <w:color w:val="auto"/>
                      <w:szCs w:val="21"/>
                    </w:rPr>
                    <w:t>3.33</w:t>
                  </w:r>
                </w:p>
              </w:tc>
              <w:tc>
                <w:tcPr>
                  <w:tcW w:w="725" w:type="pct"/>
                  <w:vAlign w:val="center"/>
                </w:tcPr>
                <w:p>
                  <w:pPr>
                    <w:jc w:val="center"/>
                    <w:rPr>
                      <w:color w:val="auto"/>
                      <w:szCs w:val="21"/>
                    </w:rPr>
                  </w:pPr>
                  <w:r>
                    <w:rPr>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1" w:type="pct"/>
                  <w:vMerge w:val="restart"/>
                  <w:vAlign w:val="center"/>
                </w:tcPr>
                <w:p>
                  <w:pPr>
                    <w:jc w:val="center"/>
                    <w:rPr>
                      <w:color w:val="auto"/>
                      <w:szCs w:val="21"/>
                    </w:rPr>
                  </w:pPr>
                  <w:r>
                    <w:rPr>
                      <w:color w:val="auto"/>
                      <w:szCs w:val="21"/>
                    </w:rPr>
                    <w:t>52.5</w:t>
                  </w:r>
                </w:p>
              </w:tc>
              <w:tc>
                <w:tcPr>
                  <w:tcW w:w="972" w:type="pct"/>
                  <w:vAlign w:val="center"/>
                </w:tcPr>
                <w:p>
                  <w:pPr>
                    <w:jc w:val="center"/>
                    <w:rPr>
                      <w:color w:val="auto"/>
                      <w:szCs w:val="21"/>
                    </w:rPr>
                  </w:pPr>
                  <w:r>
                    <w:rPr>
                      <w:color w:val="auto"/>
                      <w:szCs w:val="21"/>
                    </w:rPr>
                    <w:t>点雨量</w:t>
                  </w:r>
                </w:p>
              </w:tc>
              <w:tc>
                <w:tcPr>
                  <w:tcW w:w="723" w:type="pct"/>
                  <w:vAlign w:val="center"/>
                </w:tcPr>
                <w:p>
                  <w:pPr>
                    <w:jc w:val="center"/>
                    <w:rPr>
                      <w:color w:val="auto"/>
                      <w:szCs w:val="21"/>
                    </w:rPr>
                  </w:pPr>
                  <w:r>
                    <w:rPr>
                      <w:color w:val="auto"/>
                      <w:szCs w:val="21"/>
                    </w:rPr>
                    <w:t>173.3</w:t>
                  </w:r>
                </w:p>
              </w:tc>
              <w:tc>
                <w:tcPr>
                  <w:tcW w:w="723" w:type="pct"/>
                  <w:vAlign w:val="center"/>
                </w:tcPr>
                <w:p>
                  <w:pPr>
                    <w:jc w:val="center"/>
                    <w:rPr>
                      <w:color w:val="auto"/>
                      <w:szCs w:val="21"/>
                    </w:rPr>
                  </w:pPr>
                  <w:r>
                    <w:rPr>
                      <w:color w:val="auto"/>
                      <w:szCs w:val="21"/>
                    </w:rPr>
                    <w:t>146</w:t>
                  </w:r>
                </w:p>
              </w:tc>
              <w:tc>
                <w:tcPr>
                  <w:tcW w:w="723" w:type="pct"/>
                  <w:vAlign w:val="center"/>
                </w:tcPr>
                <w:p>
                  <w:pPr>
                    <w:jc w:val="center"/>
                    <w:rPr>
                      <w:color w:val="auto"/>
                      <w:szCs w:val="21"/>
                    </w:rPr>
                  </w:pPr>
                  <w:r>
                    <w:rPr>
                      <w:color w:val="auto"/>
                      <w:szCs w:val="21"/>
                    </w:rPr>
                    <w:t>116</w:t>
                  </w:r>
                </w:p>
              </w:tc>
              <w:tc>
                <w:tcPr>
                  <w:tcW w:w="725" w:type="pct"/>
                  <w:vAlign w:val="center"/>
                </w:tcPr>
                <w:p>
                  <w:pPr>
                    <w:jc w:val="center"/>
                    <w:rPr>
                      <w:color w:val="auto"/>
                      <w:szCs w:val="21"/>
                    </w:rPr>
                  </w:pPr>
                  <w:r>
                    <w:rPr>
                      <w:color w:val="auto"/>
                      <w:szCs w:val="21"/>
                    </w:rPr>
                    <w:t>87.7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31" w:type="pct"/>
                  <w:vMerge w:val="continue"/>
                  <w:vAlign w:val="center"/>
                </w:tcPr>
                <w:p>
                  <w:pPr>
                    <w:jc w:val="center"/>
                    <w:rPr>
                      <w:color w:val="auto"/>
                      <w:szCs w:val="21"/>
                    </w:rPr>
                  </w:pPr>
                </w:p>
              </w:tc>
              <w:tc>
                <w:tcPr>
                  <w:tcW w:w="972" w:type="pct"/>
                  <w:vAlign w:val="center"/>
                </w:tcPr>
                <w:p>
                  <w:pPr>
                    <w:jc w:val="center"/>
                    <w:rPr>
                      <w:color w:val="auto"/>
                      <w:szCs w:val="21"/>
                    </w:rPr>
                  </w:pPr>
                  <w:r>
                    <w:rPr>
                      <w:color w:val="auto"/>
                      <w:szCs w:val="21"/>
                    </w:rPr>
                    <w:t>面雨量</w:t>
                  </w:r>
                </w:p>
              </w:tc>
              <w:tc>
                <w:tcPr>
                  <w:tcW w:w="723" w:type="pct"/>
                  <w:vAlign w:val="center"/>
                </w:tcPr>
                <w:p>
                  <w:pPr>
                    <w:jc w:val="center"/>
                    <w:rPr>
                      <w:color w:val="auto"/>
                      <w:szCs w:val="21"/>
                    </w:rPr>
                  </w:pPr>
                  <w:r>
                    <w:rPr>
                      <w:color w:val="auto"/>
                      <w:szCs w:val="21"/>
                    </w:rPr>
                    <w:t>173.3</w:t>
                  </w:r>
                </w:p>
              </w:tc>
              <w:tc>
                <w:tcPr>
                  <w:tcW w:w="723" w:type="pct"/>
                  <w:vAlign w:val="center"/>
                </w:tcPr>
                <w:p>
                  <w:pPr>
                    <w:jc w:val="center"/>
                    <w:rPr>
                      <w:color w:val="auto"/>
                      <w:szCs w:val="21"/>
                    </w:rPr>
                  </w:pPr>
                  <w:r>
                    <w:rPr>
                      <w:color w:val="auto"/>
                      <w:szCs w:val="21"/>
                    </w:rPr>
                    <w:t>146</w:t>
                  </w:r>
                </w:p>
              </w:tc>
              <w:tc>
                <w:tcPr>
                  <w:tcW w:w="723" w:type="pct"/>
                  <w:vAlign w:val="center"/>
                </w:tcPr>
                <w:p>
                  <w:pPr>
                    <w:jc w:val="center"/>
                    <w:rPr>
                      <w:color w:val="auto"/>
                      <w:szCs w:val="21"/>
                    </w:rPr>
                  </w:pPr>
                  <w:r>
                    <w:rPr>
                      <w:color w:val="auto"/>
                      <w:szCs w:val="21"/>
                    </w:rPr>
                    <w:t>116</w:t>
                  </w:r>
                </w:p>
              </w:tc>
              <w:tc>
                <w:tcPr>
                  <w:tcW w:w="725" w:type="pct"/>
                  <w:vAlign w:val="center"/>
                </w:tcPr>
                <w:p>
                  <w:pPr>
                    <w:jc w:val="center"/>
                    <w:rPr>
                      <w:color w:val="auto"/>
                      <w:szCs w:val="21"/>
                    </w:rPr>
                  </w:pPr>
                  <w:r>
                    <w:rPr>
                      <w:color w:val="auto"/>
                      <w:szCs w:val="21"/>
                    </w:rPr>
                    <w:t>87.7</w:t>
                  </w:r>
                </w:p>
              </w:tc>
            </w:tr>
          </w:tbl>
          <w:p>
            <w:pPr>
              <w:pStyle w:val="5"/>
              <w:adjustRightInd w:val="0"/>
              <w:snapToGrid w:val="0"/>
              <w:ind w:firstLine="482" w:firstLineChars="200"/>
              <w:rPr>
                <w:bCs w:val="0"/>
                <w:color w:val="auto"/>
                <w:sz w:val="24"/>
                <w:szCs w:val="24"/>
                <w:lang w:bidi="ar"/>
              </w:rPr>
            </w:pPr>
            <w:r>
              <w:rPr>
                <w:rFonts w:hint="eastAsia"/>
                <w:bCs w:val="0"/>
                <w:color w:val="auto"/>
                <w:sz w:val="24"/>
                <w:szCs w:val="24"/>
                <w:lang w:bidi="ar"/>
              </w:rPr>
              <w:fldChar w:fldCharType="begin"/>
            </w:r>
            <w:r>
              <w:rPr>
                <w:rFonts w:hint="eastAsia"/>
                <w:bCs w:val="0"/>
                <w:color w:val="auto"/>
                <w:sz w:val="24"/>
                <w:szCs w:val="24"/>
                <w:lang w:bidi="ar"/>
              </w:rPr>
              <w:instrText xml:space="preserve"> = 3 \* GB2 \* MERGEFORMAT </w:instrText>
            </w:r>
            <w:r>
              <w:rPr>
                <w:rFonts w:hint="eastAsia"/>
                <w:bCs w:val="0"/>
                <w:color w:val="auto"/>
                <w:sz w:val="24"/>
                <w:szCs w:val="24"/>
                <w:lang w:bidi="ar"/>
              </w:rPr>
              <w:fldChar w:fldCharType="separate"/>
            </w:r>
            <w:r>
              <w:rPr>
                <w:rFonts w:hint="eastAsia"/>
                <w:bCs w:val="0"/>
                <w:color w:val="auto"/>
                <w:sz w:val="24"/>
                <w:szCs w:val="24"/>
                <w:lang w:bidi="ar"/>
              </w:rPr>
              <w:t>⑶</w:t>
            </w:r>
            <w:r>
              <w:rPr>
                <w:rFonts w:hint="eastAsia"/>
                <w:bCs w:val="0"/>
                <w:color w:val="auto"/>
                <w:sz w:val="24"/>
                <w:szCs w:val="24"/>
                <w:lang w:bidi="ar"/>
              </w:rPr>
              <w:fldChar w:fldCharType="end"/>
            </w:r>
            <w:bookmarkStart w:id="30" w:name="_Toc26798"/>
            <w:bookmarkStart w:id="31" w:name="_Toc77924648"/>
            <w:bookmarkStart w:id="32" w:name="_Toc82758573"/>
            <w:r>
              <w:rPr>
                <w:rFonts w:hint="eastAsia"/>
                <w:bCs w:val="0"/>
                <w:color w:val="auto"/>
                <w:sz w:val="24"/>
                <w:szCs w:val="24"/>
                <w:lang w:bidi="ar"/>
              </w:rPr>
              <w:t>采用同频内包雨型</w:t>
            </w:r>
            <w:bookmarkEnd w:id="30"/>
            <w:bookmarkEnd w:id="31"/>
            <w:bookmarkEnd w:id="32"/>
          </w:p>
          <w:p>
            <w:pPr>
              <w:spacing w:line="360" w:lineRule="auto"/>
              <w:ind w:firstLine="480"/>
              <w:rPr>
                <w:bCs/>
                <w:color w:val="auto"/>
                <w:sz w:val="24"/>
                <w:szCs w:val="32"/>
              </w:rPr>
            </w:pPr>
            <w:r>
              <w:rPr>
                <w:rFonts w:hint="eastAsia"/>
                <w:bCs/>
                <w:color w:val="auto"/>
                <w:sz w:val="24"/>
                <w:szCs w:val="32"/>
              </w:rPr>
              <w:t>根据《宁夏暴雨洪水图集（2019年版）》新修订的暴雨参数等值线图查得项目区1h暴雨均值为22.5mm，6h暴雨均值为36.5mm，1小时Cv=0.54，6小时Cv=0.51， Cs=3.5Cv，按分区、面积、重现期等选择点面折减系数，计算出设计点面雨量，不同频率设计点面雨量见表</w:t>
            </w:r>
            <w:r>
              <w:rPr>
                <w:bCs/>
                <w:color w:val="auto"/>
                <w:sz w:val="24"/>
                <w:szCs w:val="32"/>
              </w:rPr>
              <w:t>2</w:t>
            </w:r>
            <w:r>
              <w:rPr>
                <w:rFonts w:hint="eastAsia"/>
                <w:bCs/>
                <w:color w:val="auto"/>
                <w:sz w:val="24"/>
                <w:szCs w:val="32"/>
              </w:rPr>
              <w:t>-</w:t>
            </w:r>
            <w:r>
              <w:rPr>
                <w:bCs/>
                <w:color w:val="auto"/>
                <w:sz w:val="24"/>
                <w:szCs w:val="32"/>
              </w:rPr>
              <w:t>11</w:t>
            </w:r>
            <w:r>
              <w:rPr>
                <w:rFonts w:hint="eastAsia"/>
                <w:bCs/>
                <w:color w:val="auto"/>
                <w:sz w:val="24"/>
                <w:szCs w:val="32"/>
              </w:rPr>
              <w:t>。</w:t>
            </w:r>
          </w:p>
          <w:p>
            <w:pPr>
              <w:ind w:firstLine="480"/>
              <w:rPr>
                <w:b/>
                <w:bCs/>
                <w:color w:val="auto"/>
                <w:sz w:val="24"/>
                <w:szCs w:val="32"/>
              </w:rPr>
            </w:pPr>
            <w:r>
              <w:rPr>
                <w:b/>
                <w:bCs/>
                <w:color w:val="auto"/>
                <w:sz w:val="24"/>
                <w:szCs w:val="32"/>
              </w:rPr>
              <w:t>表2</w:t>
            </w:r>
            <w:r>
              <w:rPr>
                <w:rFonts w:hint="eastAsia"/>
                <w:b/>
                <w:bCs/>
                <w:color w:val="auto"/>
                <w:sz w:val="24"/>
                <w:szCs w:val="32"/>
              </w:rPr>
              <w:t>-</w:t>
            </w:r>
            <w:r>
              <w:rPr>
                <w:b/>
                <w:bCs/>
                <w:color w:val="auto"/>
                <w:sz w:val="24"/>
                <w:szCs w:val="32"/>
              </w:rPr>
              <w:t xml:space="preserve">11   </w:t>
            </w:r>
            <w:r>
              <w:rPr>
                <w:rFonts w:hint="eastAsia"/>
                <w:b/>
                <w:bCs/>
                <w:color w:val="auto"/>
                <w:sz w:val="24"/>
                <w:szCs w:val="32"/>
              </w:rPr>
              <w:t xml:space="preserve">     </w:t>
            </w:r>
            <w:r>
              <w:rPr>
                <w:b/>
                <w:bCs/>
                <w:color w:val="auto"/>
                <w:sz w:val="24"/>
                <w:szCs w:val="32"/>
              </w:rPr>
              <w:t xml:space="preserve">   不同频率设计点雨量表</w:t>
            </w:r>
            <w:r>
              <w:rPr>
                <w:rFonts w:hint="eastAsia"/>
                <w:b/>
                <w:bCs/>
                <w:color w:val="auto"/>
                <w:sz w:val="24"/>
                <w:szCs w:val="32"/>
              </w:rPr>
              <w:t xml:space="preserve">         单位：mm</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71"/>
              <w:gridCol w:w="844"/>
              <w:gridCol w:w="974"/>
              <w:gridCol w:w="959"/>
              <w:gridCol w:w="974"/>
              <w:gridCol w:w="987"/>
              <w:gridCol w:w="974"/>
              <w:gridCol w:w="713"/>
              <w:gridCol w:w="7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7" w:type="pct"/>
                  <w:vMerge w:val="restart"/>
                  <w:tcBorders>
                    <w:tl2br w:val="nil"/>
                    <w:tr2bl w:val="nil"/>
                  </w:tcBorders>
                  <w:vAlign w:val="center"/>
                </w:tcPr>
                <w:p>
                  <w:pPr>
                    <w:jc w:val="center"/>
                    <w:rPr>
                      <w:color w:val="auto"/>
                      <w:sz w:val="18"/>
                      <w:szCs w:val="18"/>
                    </w:rPr>
                  </w:pPr>
                  <w:r>
                    <w:rPr>
                      <w:rFonts w:hint="eastAsia"/>
                      <w:color w:val="auto"/>
                      <w:sz w:val="18"/>
                      <w:szCs w:val="18"/>
                    </w:rPr>
                    <w:t>历时（h）</w:t>
                  </w:r>
                </w:p>
              </w:tc>
              <w:tc>
                <w:tcPr>
                  <w:tcW w:w="342" w:type="pct"/>
                  <w:vMerge w:val="restart"/>
                  <w:tcBorders>
                    <w:tl2br w:val="nil"/>
                    <w:tr2bl w:val="nil"/>
                  </w:tcBorders>
                  <w:vAlign w:val="center"/>
                </w:tcPr>
                <w:p>
                  <w:pPr>
                    <w:jc w:val="center"/>
                    <w:rPr>
                      <w:color w:val="auto"/>
                      <w:sz w:val="18"/>
                      <w:szCs w:val="18"/>
                    </w:rPr>
                  </w:pPr>
                  <w:r>
                    <w:rPr>
                      <w:color w:val="auto"/>
                      <w:sz w:val="18"/>
                      <w:szCs w:val="18"/>
                    </w:rPr>
                    <w:t>均值</w:t>
                  </w:r>
                </w:p>
              </w:tc>
              <w:tc>
                <w:tcPr>
                  <w:tcW w:w="1088" w:type="pct"/>
                  <w:gridSpan w:val="2"/>
                  <w:tcBorders>
                    <w:tl2br w:val="nil"/>
                    <w:tr2bl w:val="nil"/>
                  </w:tcBorders>
                  <w:vAlign w:val="center"/>
                </w:tcPr>
                <w:p>
                  <w:pPr>
                    <w:jc w:val="center"/>
                    <w:rPr>
                      <w:color w:val="auto"/>
                      <w:sz w:val="18"/>
                      <w:szCs w:val="18"/>
                    </w:rPr>
                  </w:pPr>
                  <w:r>
                    <w:rPr>
                      <w:color w:val="auto"/>
                      <w:sz w:val="18"/>
                      <w:szCs w:val="18"/>
                    </w:rPr>
                    <w:t>0.33%</w:t>
                  </w:r>
                </w:p>
              </w:tc>
              <w:tc>
                <w:tcPr>
                  <w:tcW w:w="1157" w:type="pct"/>
                  <w:gridSpan w:val="2"/>
                  <w:tcBorders>
                    <w:tl2br w:val="nil"/>
                    <w:tr2bl w:val="nil"/>
                  </w:tcBorders>
                  <w:vAlign w:val="center"/>
                </w:tcPr>
                <w:p>
                  <w:pPr>
                    <w:jc w:val="center"/>
                    <w:rPr>
                      <w:color w:val="auto"/>
                      <w:sz w:val="18"/>
                      <w:szCs w:val="18"/>
                    </w:rPr>
                  </w:pPr>
                  <w:r>
                    <w:rPr>
                      <w:color w:val="auto"/>
                      <w:sz w:val="18"/>
                      <w:szCs w:val="18"/>
                    </w:rPr>
                    <w:t>1.0%</w:t>
                  </w:r>
                </w:p>
              </w:tc>
              <w:tc>
                <w:tcPr>
                  <w:tcW w:w="1173" w:type="pct"/>
                  <w:gridSpan w:val="2"/>
                  <w:tcBorders>
                    <w:tl2br w:val="nil"/>
                    <w:tr2bl w:val="nil"/>
                  </w:tcBorders>
                  <w:vAlign w:val="center"/>
                </w:tcPr>
                <w:p>
                  <w:pPr>
                    <w:jc w:val="center"/>
                    <w:rPr>
                      <w:color w:val="auto"/>
                      <w:sz w:val="18"/>
                      <w:szCs w:val="18"/>
                    </w:rPr>
                  </w:pPr>
                  <w:r>
                    <w:rPr>
                      <w:color w:val="auto"/>
                      <w:sz w:val="18"/>
                      <w:szCs w:val="18"/>
                    </w:rPr>
                    <w:t>3.33%</w:t>
                  </w:r>
                </w:p>
              </w:tc>
              <w:tc>
                <w:tcPr>
                  <w:tcW w:w="853" w:type="pct"/>
                  <w:gridSpan w:val="2"/>
                  <w:tcBorders>
                    <w:tl2br w:val="nil"/>
                    <w:tr2bl w:val="nil"/>
                  </w:tcBorders>
                  <w:vAlign w:val="center"/>
                </w:tcPr>
                <w:p>
                  <w:pPr>
                    <w:jc w:val="center"/>
                    <w:rPr>
                      <w:color w:val="auto"/>
                      <w:sz w:val="18"/>
                      <w:szCs w:val="18"/>
                    </w:rPr>
                  </w:pPr>
                  <w:r>
                    <w:rPr>
                      <w:color w:val="auto"/>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7" w:type="pct"/>
                  <w:vMerge w:val="continue"/>
                  <w:tcBorders>
                    <w:tl2br w:val="nil"/>
                    <w:tr2bl w:val="nil"/>
                  </w:tcBorders>
                  <w:vAlign w:val="center"/>
                </w:tcPr>
                <w:p>
                  <w:pPr>
                    <w:jc w:val="center"/>
                    <w:rPr>
                      <w:color w:val="auto"/>
                      <w:sz w:val="18"/>
                      <w:szCs w:val="18"/>
                    </w:rPr>
                  </w:pPr>
                </w:p>
              </w:tc>
              <w:tc>
                <w:tcPr>
                  <w:tcW w:w="342" w:type="pct"/>
                  <w:vMerge w:val="continue"/>
                  <w:tcBorders>
                    <w:tl2br w:val="nil"/>
                    <w:tr2bl w:val="nil"/>
                  </w:tcBorders>
                  <w:vAlign w:val="center"/>
                </w:tcPr>
                <w:p>
                  <w:pPr>
                    <w:jc w:val="center"/>
                    <w:rPr>
                      <w:color w:val="auto"/>
                      <w:sz w:val="18"/>
                      <w:szCs w:val="18"/>
                    </w:rPr>
                  </w:pPr>
                </w:p>
              </w:tc>
              <w:tc>
                <w:tcPr>
                  <w:tcW w:w="505" w:type="pct"/>
                  <w:tcBorders>
                    <w:tl2br w:val="nil"/>
                    <w:tr2bl w:val="nil"/>
                  </w:tcBorders>
                  <w:vAlign w:val="center"/>
                </w:tcPr>
                <w:p>
                  <w:pPr>
                    <w:jc w:val="center"/>
                    <w:rPr>
                      <w:color w:val="auto"/>
                      <w:sz w:val="18"/>
                      <w:szCs w:val="18"/>
                    </w:rPr>
                  </w:pPr>
                  <w:r>
                    <w:rPr>
                      <w:color w:val="auto"/>
                      <w:sz w:val="18"/>
                      <w:szCs w:val="18"/>
                    </w:rPr>
                    <w:t>点雨量</w:t>
                  </w:r>
                </w:p>
              </w:tc>
              <w:tc>
                <w:tcPr>
                  <w:tcW w:w="583" w:type="pct"/>
                  <w:tcBorders>
                    <w:tl2br w:val="nil"/>
                    <w:tr2bl w:val="nil"/>
                  </w:tcBorders>
                  <w:vAlign w:val="center"/>
                </w:tcPr>
                <w:p>
                  <w:pPr>
                    <w:jc w:val="center"/>
                    <w:rPr>
                      <w:color w:val="auto"/>
                      <w:sz w:val="18"/>
                      <w:szCs w:val="18"/>
                    </w:rPr>
                  </w:pPr>
                  <w:r>
                    <w:rPr>
                      <w:color w:val="auto"/>
                      <w:sz w:val="18"/>
                      <w:szCs w:val="18"/>
                    </w:rPr>
                    <w:t>面雨量</w:t>
                  </w:r>
                </w:p>
              </w:tc>
              <w:tc>
                <w:tcPr>
                  <w:tcW w:w="574" w:type="pct"/>
                  <w:tcBorders>
                    <w:tl2br w:val="nil"/>
                    <w:tr2bl w:val="nil"/>
                  </w:tcBorders>
                  <w:vAlign w:val="center"/>
                </w:tcPr>
                <w:p>
                  <w:pPr>
                    <w:jc w:val="center"/>
                    <w:rPr>
                      <w:color w:val="auto"/>
                      <w:sz w:val="18"/>
                      <w:szCs w:val="18"/>
                    </w:rPr>
                  </w:pPr>
                  <w:r>
                    <w:rPr>
                      <w:color w:val="auto"/>
                      <w:sz w:val="18"/>
                      <w:szCs w:val="18"/>
                    </w:rPr>
                    <w:t>点雨量</w:t>
                  </w:r>
                </w:p>
              </w:tc>
              <w:tc>
                <w:tcPr>
                  <w:tcW w:w="583" w:type="pct"/>
                  <w:tcBorders>
                    <w:tl2br w:val="nil"/>
                    <w:tr2bl w:val="nil"/>
                  </w:tcBorders>
                  <w:vAlign w:val="center"/>
                </w:tcPr>
                <w:p>
                  <w:pPr>
                    <w:jc w:val="center"/>
                    <w:rPr>
                      <w:color w:val="auto"/>
                      <w:sz w:val="18"/>
                      <w:szCs w:val="18"/>
                    </w:rPr>
                  </w:pPr>
                  <w:r>
                    <w:rPr>
                      <w:color w:val="auto"/>
                      <w:sz w:val="18"/>
                      <w:szCs w:val="18"/>
                    </w:rPr>
                    <w:t>面雨量</w:t>
                  </w:r>
                </w:p>
              </w:tc>
              <w:tc>
                <w:tcPr>
                  <w:tcW w:w="591" w:type="pct"/>
                  <w:tcBorders>
                    <w:tl2br w:val="nil"/>
                    <w:tr2bl w:val="nil"/>
                  </w:tcBorders>
                  <w:vAlign w:val="center"/>
                </w:tcPr>
                <w:p>
                  <w:pPr>
                    <w:jc w:val="center"/>
                    <w:rPr>
                      <w:color w:val="auto"/>
                      <w:sz w:val="18"/>
                      <w:szCs w:val="18"/>
                    </w:rPr>
                  </w:pPr>
                  <w:r>
                    <w:rPr>
                      <w:color w:val="auto"/>
                      <w:sz w:val="18"/>
                      <w:szCs w:val="18"/>
                    </w:rPr>
                    <w:t>点雨量</w:t>
                  </w:r>
                </w:p>
              </w:tc>
              <w:tc>
                <w:tcPr>
                  <w:tcW w:w="583" w:type="pct"/>
                  <w:tcBorders>
                    <w:tl2br w:val="nil"/>
                    <w:tr2bl w:val="nil"/>
                  </w:tcBorders>
                  <w:vAlign w:val="center"/>
                </w:tcPr>
                <w:p>
                  <w:pPr>
                    <w:jc w:val="center"/>
                    <w:rPr>
                      <w:color w:val="auto"/>
                      <w:sz w:val="18"/>
                      <w:szCs w:val="18"/>
                    </w:rPr>
                  </w:pPr>
                  <w:r>
                    <w:rPr>
                      <w:color w:val="auto"/>
                      <w:sz w:val="18"/>
                      <w:szCs w:val="18"/>
                    </w:rPr>
                    <w:t>面雨量</w:t>
                  </w:r>
                </w:p>
              </w:tc>
              <w:tc>
                <w:tcPr>
                  <w:tcW w:w="427" w:type="pct"/>
                  <w:tcBorders>
                    <w:tl2br w:val="nil"/>
                    <w:tr2bl w:val="nil"/>
                  </w:tcBorders>
                  <w:vAlign w:val="center"/>
                </w:tcPr>
                <w:p>
                  <w:pPr>
                    <w:jc w:val="center"/>
                    <w:rPr>
                      <w:color w:val="auto"/>
                      <w:sz w:val="18"/>
                      <w:szCs w:val="18"/>
                    </w:rPr>
                  </w:pPr>
                  <w:r>
                    <w:rPr>
                      <w:color w:val="auto"/>
                      <w:sz w:val="18"/>
                      <w:szCs w:val="18"/>
                    </w:rPr>
                    <w:t>点雨量</w:t>
                  </w:r>
                </w:p>
              </w:tc>
              <w:tc>
                <w:tcPr>
                  <w:tcW w:w="427" w:type="pct"/>
                  <w:tcBorders>
                    <w:tl2br w:val="nil"/>
                    <w:tr2bl w:val="nil"/>
                  </w:tcBorders>
                  <w:vAlign w:val="center"/>
                </w:tcPr>
                <w:p>
                  <w:pPr>
                    <w:jc w:val="center"/>
                    <w:rPr>
                      <w:color w:val="auto"/>
                      <w:sz w:val="18"/>
                      <w:szCs w:val="18"/>
                    </w:rPr>
                  </w:pPr>
                  <w:r>
                    <w:rPr>
                      <w:color w:val="auto"/>
                      <w:sz w:val="18"/>
                      <w:szCs w:val="18"/>
                    </w:rPr>
                    <w:t>面雨量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7" w:type="pct"/>
                  <w:tcBorders>
                    <w:tl2br w:val="nil"/>
                    <w:tr2bl w:val="nil"/>
                  </w:tcBorders>
                  <w:vAlign w:val="center"/>
                </w:tcPr>
                <w:p>
                  <w:pPr>
                    <w:jc w:val="center"/>
                    <w:rPr>
                      <w:color w:val="auto"/>
                      <w:sz w:val="18"/>
                      <w:szCs w:val="18"/>
                    </w:rPr>
                  </w:pPr>
                  <w:r>
                    <w:rPr>
                      <w:color w:val="auto"/>
                      <w:sz w:val="18"/>
                      <w:szCs w:val="18"/>
                    </w:rPr>
                    <w:t>1</w:t>
                  </w:r>
                </w:p>
              </w:tc>
              <w:tc>
                <w:tcPr>
                  <w:tcW w:w="342" w:type="pct"/>
                  <w:tcBorders>
                    <w:tl2br w:val="nil"/>
                    <w:tr2bl w:val="nil"/>
                  </w:tcBorders>
                  <w:vAlign w:val="center"/>
                </w:tcPr>
                <w:p>
                  <w:pPr>
                    <w:jc w:val="center"/>
                    <w:rPr>
                      <w:color w:val="auto"/>
                      <w:sz w:val="18"/>
                      <w:szCs w:val="18"/>
                    </w:rPr>
                  </w:pPr>
                  <w:r>
                    <w:rPr>
                      <w:color w:val="auto"/>
                      <w:sz w:val="18"/>
                      <w:szCs w:val="18"/>
                    </w:rPr>
                    <w:t>22.5</w:t>
                  </w:r>
                </w:p>
              </w:tc>
              <w:tc>
                <w:tcPr>
                  <w:tcW w:w="505" w:type="pct"/>
                  <w:tcBorders>
                    <w:tl2br w:val="nil"/>
                    <w:tr2bl w:val="nil"/>
                  </w:tcBorders>
                  <w:vAlign w:val="center"/>
                </w:tcPr>
                <w:p>
                  <w:pPr>
                    <w:jc w:val="center"/>
                    <w:rPr>
                      <w:color w:val="auto"/>
                      <w:sz w:val="18"/>
                      <w:szCs w:val="18"/>
                    </w:rPr>
                  </w:pPr>
                  <w:r>
                    <w:rPr>
                      <w:color w:val="auto"/>
                      <w:sz w:val="18"/>
                      <w:szCs w:val="18"/>
                    </w:rPr>
                    <w:t>78.5</w:t>
                  </w:r>
                </w:p>
              </w:tc>
              <w:tc>
                <w:tcPr>
                  <w:tcW w:w="583" w:type="pct"/>
                  <w:tcBorders>
                    <w:tl2br w:val="nil"/>
                    <w:tr2bl w:val="nil"/>
                  </w:tcBorders>
                  <w:vAlign w:val="center"/>
                </w:tcPr>
                <w:p>
                  <w:pPr>
                    <w:jc w:val="center"/>
                    <w:rPr>
                      <w:color w:val="auto"/>
                      <w:sz w:val="18"/>
                      <w:szCs w:val="18"/>
                    </w:rPr>
                  </w:pPr>
                  <w:r>
                    <w:rPr>
                      <w:color w:val="auto"/>
                      <w:sz w:val="18"/>
                      <w:szCs w:val="18"/>
                    </w:rPr>
                    <w:t>78.5</w:t>
                  </w:r>
                </w:p>
              </w:tc>
              <w:tc>
                <w:tcPr>
                  <w:tcW w:w="574" w:type="pct"/>
                  <w:tcBorders>
                    <w:tl2br w:val="nil"/>
                    <w:tr2bl w:val="nil"/>
                  </w:tcBorders>
                  <w:vAlign w:val="center"/>
                </w:tcPr>
                <w:p>
                  <w:pPr>
                    <w:jc w:val="center"/>
                    <w:rPr>
                      <w:color w:val="auto"/>
                      <w:sz w:val="18"/>
                      <w:szCs w:val="18"/>
                    </w:rPr>
                  </w:pPr>
                  <w:r>
                    <w:rPr>
                      <w:color w:val="auto"/>
                      <w:sz w:val="18"/>
                      <w:szCs w:val="18"/>
                    </w:rPr>
                    <w:t>65.7</w:t>
                  </w:r>
                </w:p>
              </w:tc>
              <w:tc>
                <w:tcPr>
                  <w:tcW w:w="583" w:type="pct"/>
                  <w:tcBorders>
                    <w:tl2br w:val="nil"/>
                    <w:tr2bl w:val="nil"/>
                  </w:tcBorders>
                  <w:vAlign w:val="center"/>
                </w:tcPr>
                <w:p>
                  <w:pPr>
                    <w:jc w:val="center"/>
                    <w:rPr>
                      <w:color w:val="auto"/>
                      <w:sz w:val="18"/>
                      <w:szCs w:val="18"/>
                    </w:rPr>
                  </w:pPr>
                  <w:r>
                    <w:rPr>
                      <w:color w:val="auto"/>
                      <w:sz w:val="18"/>
                      <w:szCs w:val="18"/>
                    </w:rPr>
                    <w:t>65.7</w:t>
                  </w:r>
                </w:p>
              </w:tc>
              <w:tc>
                <w:tcPr>
                  <w:tcW w:w="591" w:type="pct"/>
                  <w:tcBorders>
                    <w:tl2br w:val="nil"/>
                    <w:tr2bl w:val="nil"/>
                  </w:tcBorders>
                  <w:vAlign w:val="center"/>
                </w:tcPr>
                <w:p>
                  <w:pPr>
                    <w:jc w:val="center"/>
                    <w:rPr>
                      <w:color w:val="auto"/>
                      <w:sz w:val="18"/>
                      <w:szCs w:val="18"/>
                    </w:rPr>
                  </w:pPr>
                  <w:r>
                    <w:rPr>
                      <w:color w:val="auto"/>
                      <w:sz w:val="18"/>
                      <w:szCs w:val="18"/>
                    </w:rPr>
                    <w:t>51.5</w:t>
                  </w:r>
                </w:p>
              </w:tc>
              <w:tc>
                <w:tcPr>
                  <w:tcW w:w="583" w:type="pct"/>
                  <w:tcBorders>
                    <w:tl2br w:val="nil"/>
                    <w:tr2bl w:val="nil"/>
                  </w:tcBorders>
                  <w:vAlign w:val="center"/>
                </w:tcPr>
                <w:p>
                  <w:pPr>
                    <w:jc w:val="center"/>
                    <w:rPr>
                      <w:color w:val="auto"/>
                      <w:sz w:val="18"/>
                      <w:szCs w:val="18"/>
                    </w:rPr>
                  </w:pPr>
                  <w:r>
                    <w:rPr>
                      <w:color w:val="auto"/>
                      <w:sz w:val="18"/>
                      <w:szCs w:val="18"/>
                    </w:rPr>
                    <w:t>51.5</w:t>
                  </w:r>
                </w:p>
              </w:tc>
              <w:tc>
                <w:tcPr>
                  <w:tcW w:w="427" w:type="pct"/>
                  <w:tcBorders>
                    <w:tl2br w:val="nil"/>
                    <w:tr2bl w:val="nil"/>
                  </w:tcBorders>
                  <w:vAlign w:val="center"/>
                </w:tcPr>
                <w:p>
                  <w:pPr>
                    <w:jc w:val="center"/>
                    <w:rPr>
                      <w:color w:val="auto"/>
                      <w:sz w:val="18"/>
                      <w:szCs w:val="18"/>
                    </w:rPr>
                  </w:pPr>
                  <w:r>
                    <w:rPr>
                      <w:color w:val="auto"/>
                      <w:sz w:val="18"/>
                      <w:szCs w:val="18"/>
                    </w:rPr>
                    <w:t>38.5</w:t>
                  </w:r>
                </w:p>
              </w:tc>
              <w:tc>
                <w:tcPr>
                  <w:tcW w:w="427" w:type="pct"/>
                  <w:tcBorders>
                    <w:tl2br w:val="nil"/>
                    <w:tr2bl w:val="nil"/>
                  </w:tcBorders>
                  <w:vAlign w:val="center"/>
                </w:tcPr>
                <w:p>
                  <w:pPr>
                    <w:jc w:val="center"/>
                    <w:rPr>
                      <w:color w:val="auto"/>
                      <w:sz w:val="18"/>
                      <w:szCs w:val="18"/>
                    </w:rPr>
                  </w:pPr>
                  <w:r>
                    <w:rPr>
                      <w:color w:val="auto"/>
                      <w:sz w:val="18"/>
                      <w:szCs w:val="18"/>
                    </w:rPr>
                    <w:t>38.5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7" w:type="pct"/>
                  <w:tcBorders>
                    <w:tl2br w:val="nil"/>
                    <w:tr2bl w:val="nil"/>
                  </w:tcBorders>
                  <w:vAlign w:val="center"/>
                </w:tcPr>
                <w:p>
                  <w:pPr>
                    <w:jc w:val="center"/>
                    <w:rPr>
                      <w:color w:val="auto"/>
                      <w:sz w:val="18"/>
                      <w:szCs w:val="18"/>
                    </w:rPr>
                  </w:pPr>
                  <w:r>
                    <w:rPr>
                      <w:color w:val="auto"/>
                      <w:sz w:val="18"/>
                      <w:szCs w:val="18"/>
                    </w:rPr>
                    <w:t xml:space="preserve">6 </w:t>
                  </w:r>
                </w:p>
              </w:tc>
              <w:tc>
                <w:tcPr>
                  <w:tcW w:w="342" w:type="pct"/>
                  <w:tcBorders>
                    <w:tl2br w:val="nil"/>
                    <w:tr2bl w:val="nil"/>
                  </w:tcBorders>
                  <w:vAlign w:val="center"/>
                </w:tcPr>
                <w:p>
                  <w:pPr>
                    <w:jc w:val="center"/>
                    <w:rPr>
                      <w:color w:val="auto"/>
                      <w:sz w:val="18"/>
                      <w:szCs w:val="18"/>
                    </w:rPr>
                  </w:pPr>
                  <w:r>
                    <w:rPr>
                      <w:color w:val="auto"/>
                      <w:sz w:val="18"/>
                      <w:szCs w:val="18"/>
                    </w:rPr>
                    <w:t>36.5</w:t>
                  </w:r>
                </w:p>
              </w:tc>
              <w:tc>
                <w:tcPr>
                  <w:tcW w:w="505" w:type="pct"/>
                  <w:tcBorders>
                    <w:tl2br w:val="nil"/>
                    <w:tr2bl w:val="nil"/>
                  </w:tcBorders>
                  <w:vAlign w:val="center"/>
                </w:tcPr>
                <w:p>
                  <w:pPr>
                    <w:jc w:val="center"/>
                    <w:rPr>
                      <w:color w:val="auto"/>
                      <w:sz w:val="18"/>
                      <w:szCs w:val="18"/>
                    </w:rPr>
                  </w:pPr>
                  <w:r>
                    <w:rPr>
                      <w:color w:val="auto"/>
                      <w:sz w:val="18"/>
                      <w:szCs w:val="18"/>
                    </w:rPr>
                    <w:t>120.5</w:t>
                  </w:r>
                </w:p>
              </w:tc>
              <w:tc>
                <w:tcPr>
                  <w:tcW w:w="583" w:type="pct"/>
                  <w:tcBorders>
                    <w:tl2br w:val="nil"/>
                    <w:tr2bl w:val="nil"/>
                  </w:tcBorders>
                  <w:vAlign w:val="center"/>
                </w:tcPr>
                <w:p>
                  <w:pPr>
                    <w:jc w:val="center"/>
                    <w:rPr>
                      <w:color w:val="auto"/>
                      <w:sz w:val="18"/>
                      <w:szCs w:val="18"/>
                    </w:rPr>
                  </w:pPr>
                  <w:r>
                    <w:rPr>
                      <w:color w:val="auto"/>
                      <w:sz w:val="18"/>
                      <w:szCs w:val="18"/>
                    </w:rPr>
                    <w:t>120.5</w:t>
                  </w:r>
                </w:p>
              </w:tc>
              <w:tc>
                <w:tcPr>
                  <w:tcW w:w="574" w:type="pct"/>
                  <w:tcBorders>
                    <w:tl2br w:val="nil"/>
                    <w:tr2bl w:val="nil"/>
                  </w:tcBorders>
                  <w:vAlign w:val="center"/>
                </w:tcPr>
                <w:p>
                  <w:pPr>
                    <w:jc w:val="center"/>
                    <w:rPr>
                      <w:color w:val="auto"/>
                      <w:sz w:val="18"/>
                      <w:szCs w:val="18"/>
                    </w:rPr>
                  </w:pPr>
                  <w:r>
                    <w:rPr>
                      <w:color w:val="auto"/>
                      <w:sz w:val="18"/>
                      <w:szCs w:val="18"/>
                    </w:rPr>
                    <w:t>101.7</w:t>
                  </w:r>
                </w:p>
              </w:tc>
              <w:tc>
                <w:tcPr>
                  <w:tcW w:w="583" w:type="pct"/>
                  <w:tcBorders>
                    <w:tl2br w:val="nil"/>
                    <w:tr2bl w:val="nil"/>
                  </w:tcBorders>
                  <w:vAlign w:val="center"/>
                </w:tcPr>
                <w:p>
                  <w:pPr>
                    <w:jc w:val="center"/>
                    <w:rPr>
                      <w:color w:val="auto"/>
                      <w:sz w:val="18"/>
                      <w:szCs w:val="18"/>
                    </w:rPr>
                  </w:pPr>
                  <w:r>
                    <w:rPr>
                      <w:color w:val="auto"/>
                      <w:sz w:val="18"/>
                      <w:szCs w:val="18"/>
                    </w:rPr>
                    <w:t>101.7</w:t>
                  </w:r>
                </w:p>
              </w:tc>
              <w:tc>
                <w:tcPr>
                  <w:tcW w:w="591" w:type="pct"/>
                  <w:tcBorders>
                    <w:tl2br w:val="nil"/>
                    <w:tr2bl w:val="nil"/>
                  </w:tcBorders>
                  <w:vAlign w:val="center"/>
                </w:tcPr>
                <w:p>
                  <w:pPr>
                    <w:jc w:val="center"/>
                    <w:rPr>
                      <w:color w:val="auto"/>
                      <w:sz w:val="18"/>
                      <w:szCs w:val="18"/>
                    </w:rPr>
                  </w:pPr>
                  <w:r>
                    <w:rPr>
                      <w:color w:val="auto"/>
                      <w:sz w:val="18"/>
                      <w:szCs w:val="18"/>
                    </w:rPr>
                    <w:t>80.7</w:t>
                  </w:r>
                </w:p>
              </w:tc>
              <w:tc>
                <w:tcPr>
                  <w:tcW w:w="583" w:type="pct"/>
                  <w:tcBorders>
                    <w:tl2br w:val="nil"/>
                    <w:tr2bl w:val="nil"/>
                  </w:tcBorders>
                  <w:vAlign w:val="center"/>
                </w:tcPr>
                <w:p>
                  <w:pPr>
                    <w:jc w:val="center"/>
                    <w:rPr>
                      <w:color w:val="auto"/>
                      <w:sz w:val="18"/>
                      <w:szCs w:val="18"/>
                    </w:rPr>
                  </w:pPr>
                  <w:r>
                    <w:rPr>
                      <w:color w:val="auto"/>
                      <w:sz w:val="18"/>
                      <w:szCs w:val="18"/>
                    </w:rPr>
                    <w:t>80.7</w:t>
                  </w:r>
                </w:p>
              </w:tc>
              <w:tc>
                <w:tcPr>
                  <w:tcW w:w="427" w:type="pct"/>
                  <w:tcBorders>
                    <w:tl2br w:val="nil"/>
                    <w:tr2bl w:val="nil"/>
                  </w:tcBorders>
                  <w:vAlign w:val="center"/>
                </w:tcPr>
                <w:p>
                  <w:pPr>
                    <w:jc w:val="center"/>
                    <w:rPr>
                      <w:color w:val="auto"/>
                      <w:sz w:val="18"/>
                      <w:szCs w:val="18"/>
                    </w:rPr>
                  </w:pPr>
                  <w:r>
                    <w:rPr>
                      <w:color w:val="auto"/>
                      <w:sz w:val="18"/>
                      <w:szCs w:val="18"/>
                    </w:rPr>
                    <w:t>61.1</w:t>
                  </w:r>
                </w:p>
              </w:tc>
              <w:tc>
                <w:tcPr>
                  <w:tcW w:w="427" w:type="pct"/>
                  <w:tcBorders>
                    <w:tl2br w:val="nil"/>
                    <w:tr2bl w:val="nil"/>
                  </w:tcBorders>
                  <w:vAlign w:val="center"/>
                </w:tcPr>
                <w:p>
                  <w:pPr>
                    <w:jc w:val="center"/>
                    <w:rPr>
                      <w:color w:val="auto"/>
                      <w:sz w:val="18"/>
                      <w:szCs w:val="18"/>
                    </w:rPr>
                  </w:pPr>
                  <w:r>
                    <w:rPr>
                      <w:color w:val="auto"/>
                      <w:sz w:val="18"/>
                      <w:szCs w:val="18"/>
                    </w:rPr>
                    <w:t>61.1</w:t>
                  </w:r>
                </w:p>
              </w:tc>
            </w:tr>
          </w:tbl>
          <w:p>
            <w:pPr>
              <w:pStyle w:val="5"/>
              <w:tabs>
                <w:tab w:val="left" w:pos="840"/>
              </w:tabs>
              <w:adjustRightInd w:val="0"/>
              <w:snapToGrid w:val="0"/>
              <w:ind w:firstLine="482" w:firstLineChars="200"/>
              <w:rPr>
                <w:bCs w:val="0"/>
                <w:color w:val="auto"/>
                <w:sz w:val="24"/>
                <w:szCs w:val="24"/>
                <w:lang w:bidi="ar"/>
              </w:rPr>
            </w:pPr>
            <w:r>
              <w:rPr>
                <w:bCs w:val="0"/>
                <w:color w:val="auto"/>
                <w:sz w:val="24"/>
                <w:szCs w:val="24"/>
                <w:lang w:bidi="ar"/>
              </w:rPr>
              <w:fldChar w:fldCharType="begin"/>
            </w:r>
            <w:r>
              <w:rPr>
                <w:bCs w:val="0"/>
                <w:color w:val="auto"/>
                <w:sz w:val="24"/>
                <w:szCs w:val="24"/>
                <w:lang w:bidi="ar"/>
              </w:rPr>
              <w:instrText xml:space="preserve"> = 4 \* GB2 \* MERGEFORMAT </w:instrText>
            </w:r>
            <w:r>
              <w:rPr>
                <w:bCs w:val="0"/>
                <w:color w:val="auto"/>
                <w:sz w:val="24"/>
                <w:szCs w:val="24"/>
                <w:lang w:bidi="ar"/>
              </w:rPr>
              <w:fldChar w:fldCharType="separate"/>
            </w:r>
            <w:r>
              <w:rPr>
                <w:color w:val="auto"/>
              </w:rPr>
              <w:t>⑷</w:t>
            </w:r>
            <w:r>
              <w:rPr>
                <w:bCs w:val="0"/>
                <w:color w:val="auto"/>
                <w:sz w:val="24"/>
                <w:szCs w:val="24"/>
                <w:lang w:bidi="ar"/>
              </w:rPr>
              <w:fldChar w:fldCharType="end"/>
            </w:r>
            <w:r>
              <w:rPr>
                <w:rFonts w:hint="eastAsia"/>
                <w:bCs w:val="0"/>
                <w:color w:val="auto"/>
                <w:sz w:val="24"/>
                <w:szCs w:val="24"/>
                <w:lang w:bidi="ar"/>
              </w:rPr>
              <w:t>设计洪水</w:t>
            </w:r>
          </w:p>
          <w:p>
            <w:pPr>
              <w:spacing w:line="360" w:lineRule="auto"/>
              <w:ind w:firstLine="480"/>
              <w:rPr>
                <w:color w:val="auto"/>
                <w:sz w:val="24"/>
              </w:rPr>
            </w:pPr>
            <w:bookmarkStart w:id="33" w:name="_Toc308883509"/>
            <w:bookmarkStart w:id="34" w:name="_Toc313563629"/>
            <w:bookmarkStart w:id="35" w:name="_Toc308726260"/>
            <w:bookmarkStart w:id="36" w:name="_Toc279390798"/>
            <w:bookmarkStart w:id="37" w:name="_Toc278381620"/>
            <w:bookmarkStart w:id="38" w:name="_Toc285549629"/>
            <w:r>
              <w:rPr>
                <w:rFonts w:hint="eastAsia"/>
                <w:color w:val="auto"/>
                <w:sz w:val="24"/>
              </w:rPr>
              <w:t>①</w:t>
            </w:r>
            <w:r>
              <w:rPr>
                <w:color w:val="auto"/>
                <w:sz w:val="24"/>
              </w:rPr>
              <w:t>计算方法</w:t>
            </w:r>
            <w:bookmarkEnd w:id="33"/>
            <w:bookmarkEnd w:id="34"/>
            <w:bookmarkEnd w:id="35"/>
            <w:bookmarkEnd w:id="36"/>
            <w:bookmarkEnd w:id="37"/>
            <w:bookmarkEnd w:id="38"/>
          </w:p>
          <w:p>
            <w:pPr>
              <w:spacing w:line="360" w:lineRule="auto"/>
              <w:ind w:firstLine="480"/>
              <w:rPr>
                <w:color w:val="auto"/>
                <w:sz w:val="24"/>
              </w:rPr>
            </w:pPr>
            <w:r>
              <w:rPr>
                <w:color w:val="auto"/>
                <w:sz w:val="24"/>
              </w:rPr>
              <w:t>采用暴雨资料推求设计洪水，依据《宁夏暴雨洪水图集》（2019年版）方法计算及重新修订的不同历时暴雨参数等值线图。</w:t>
            </w:r>
          </w:p>
          <w:p>
            <w:pPr>
              <w:pStyle w:val="44"/>
              <w:ind w:firstLine="480"/>
              <w:rPr>
                <w:color w:val="auto"/>
                <w:sz w:val="24"/>
                <w:szCs w:val="24"/>
              </w:rPr>
            </w:pPr>
            <w:bookmarkStart w:id="39" w:name="_Toc308883510"/>
            <w:bookmarkStart w:id="40" w:name="_Toc313563630"/>
            <w:bookmarkStart w:id="41" w:name="_Toc278381621"/>
            <w:bookmarkStart w:id="42" w:name="_Toc279390799"/>
            <w:bookmarkStart w:id="43" w:name="_Toc308726261"/>
            <w:bookmarkStart w:id="44" w:name="_Toc285549630"/>
            <w:r>
              <w:rPr>
                <w:rFonts w:hint="eastAsia"/>
                <w:color w:val="auto"/>
                <w:sz w:val="24"/>
                <w:szCs w:val="24"/>
              </w:rPr>
              <w:t>②</w:t>
            </w:r>
            <w:r>
              <w:rPr>
                <w:color w:val="auto"/>
                <w:sz w:val="24"/>
                <w:szCs w:val="24"/>
              </w:rPr>
              <w:t>产流计算</w:t>
            </w:r>
            <w:bookmarkEnd w:id="39"/>
            <w:bookmarkEnd w:id="40"/>
            <w:bookmarkEnd w:id="41"/>
            <w:bookmarkEnd w:id="42"/>
            <w:bookmarkEnd w:id="43"/>
            <w:bookmarkEnd w:id="44"/>
          </w:p>
          <w:p>
            <w:pPr>
              <w:spacing w:line="360" w:lineRule="auto"/>
              <w:ind w:firstLine="480"/>
              <w:rPr>
                <w:color w:val="auto"/>
                <w:sz w:val="24"/>
              </w:rPr>
            </w:pPr>
            <w:r>
              <w:rPr>
                <w:color w:val="auto"/>
                <w:sz w:val="24"/>
              </w:rPr>
              <w:t>根据工程设计频率和不同历时点雨量均值及统计参数等值线图，求出该沟道设计点雨量，然后根据不同计算分区、面积、重现期等选择点面折减系数，求得不同保证率的面雨量。面雨量分配在宁夏有同频内包、概化和典型三种雨型。本次选用同频内包雨型和典型雨型两种方法分别计算，然后由面雨量过程以扣损法计算产流过程。</w:t>
            </w:r>
          </w:p>
          <w:p>
            <w:pPr>
              <w:spacing w:line="360" w:lineRule="auto"/>
              <w:ind w:firstLine="480"/>
              <w:rPr>
                <w:color w:val="auto"/>
                <w:sz w:val="24"/>
              </w:rPr>
            </w:pPr>
            <w:r>
              <w:rPr>
                <w:color w:val="auto"/>
                <w:sz w:val="24"/>
              </w:rPr>
              <w:t>产流公式如下：</w:t>
            </w:r>
          </w:p>
          <w:p>
            <w:pPr>
              <w:spacing w:line="360" w:lineRule="auto"/>
              <w:jc w:val="center"/>
              <w:rPr>
                <w:color w:val="auto"/>
                <w:sz w:val="24"/>
                <w:vertAlign w:val="subscript"/>
              </w:rPr>
            </w:pPr>
            <w:r>
              <w:rPr>
                <w:color w:val="auto"/>
                <w:position w:val="-12"/>
                <w:sz w:val="24"/>
              </w:rPr>
              <w:object>
                <v:shape id="_x0000_i1031" o:spt="75" type="#_x0000_t75" style="height:18.35pt;width:62.5pt;" o:ole="t" filled="f" o:preferrelative="t" stroked="f" coordsize="21600,21600">
                  <v:path/>
                  <v:fill on="f" focussize="0,0"/>
                  <v:stroke on="f" joinstyle="miter"/>
                  <v:imagedata r:id="rId38" o:title=""/>
                  <o:lock v:ext="edit" aspectratio="t"/>
                  <w10:wrap type="none"/>
                  <w10:anchorlock/>
                </v:shape>
                <o:OLEObject Type="Embed" ProgID="Equation.3" ShapeID="_x0000_i1031" DrawAspect="Content" ObjectID="_1468075731" r:id="rId37">
                  <o:LockedField>false</o:LockedField>
                </o:OLEObject>
              </w:object>
            </w:r>
          </w:p>
          <w:p>
            <w:pPr>
              <w:spacing w:line="360" w:lineRule="auto"/>
              <w:ind w:firstLine="480"/>
              <w:rPr>
                <w:color w:val="auto"/>
                <w:sz w:val="24"/>
              </w:rPr>
            </w:pPr>
            <w:r>
              <w:rPr>
                <w:color w:val="auto"/>
                <w:position w:val="-12"/>
                <w:sz w:val="24"/>
              </w:rPr>
              <w:object>
                <v:shape id="_x0000_i1032" o:spt="75" type="#_x0000_t75" style="height:18.35pt;width:13.6pt;" o:ole="t" filled="f" o:preferrelative="t" stroked="f" coordsize="21600,21600">
                  <v:path/>
                  <v:fill on="f" focussize="0,0"/>
                  <v:stroke on="f" joinstyle="miter"/>
                  <v:imagedata r:id="rId40" o:title=""/>
                  <o:lock v:ext="edit" aspectratio="t"/>
                  <w10:wrap type="none"/>
                  <w10:anchorlock/>
                </v:shape>
                <o:OLEObject Type="Embed" ProgID="Equation.3" ShapeID="_x0000_i1032" DrawAspect="Content" ObjectID="_1468075732" r:id="rId39">
                  <o:LockedField>false</o:LockedField>
                </o:OLEObject>
              </w:object>
            </w:r>
            <w:r>
              <w:rPr>
                <w:color w:val="auto"/>
                <w:sz w:val="24"/>
              </w:rPr>
              <w:tab/>
            </w:r>
            <w:r>
              <w:rPr>
                <w:color w:val="auto"/>
                <w:sz w:val="24"/>
              </w:rPr>
              <w:t>－为产流期某时段净雨 (mm)；</w:t>
            </w:r>
          </w:p>
          <w:p>
            <w:pPr>
              <w:spacing w:line="360" w:lineRule="auto"/>
              <w:ind w:firstLine="480"/>
              <w:rPr>
                <w:color w:val="auto"/>
                <w:sz w:val="24"/>
              </w:rPr>
            </w:pPr>
            <w:r>
              <w:rPr>
                <w:color w:val="auto"/>
                <w:sz w:val="24"/>
              </w:rPr>
              <w:object>
                <v:shape id="_x0000_i1033" o:spt="75" type="#_x0000_t75" style="height:18.35pt;width:16.3pt;" o:ole="t" filled="f" o:preferrelative="t" stroked="f" coordsize="21600,21600">
                  <v:path/>
                  <v:fill on="f" focussize="0,0"/>
                  <v:stroke on="f" joinstyle="miter"/>
                  <v:imagedata r:id="rId42" o:title=""/>
                  <o:lock v:ext="edit" aspectratio="t"/>
                  <w10:wrap type="none"/>
                  <w10:anchorlock/>
                </v:shape>
                <o:OLEObject Type="Embed" ProgID="Equation.3" ShapeID="_x0000_i1033" DrawAspect="Content" ObjectID="_1468075733" r:id="rId41">
                  <o:LockedField>false</o:LockedField>
                </o:OLEObject>
              </w:object>
            </w:r>
            <w:r>
              <w:rPr>
                <w:color w:val="auto"/>
                <w:sz w:val="24"/>
              </w:rPr>
              <w:tab/>
            </w:r>
            <w:r>
              <w:rPr>
                <w:color w:val="auto"/>
                <w:sz w:val="24"/>
              </w:rPr>
              <w:t>－为产流期某时段面雨量 (mm)；</w:t>
            </w:r>
          </w:p>
          <w:p>
            <w:pPr>
              <w:spacing w:line="360" w:lineRule="auto"/>
              <w:ind w:firstLine="480"/>
              <w:rPr>
                <w:color w:val="auto"/>
                <w:sz w:val="24"/>
              </w:rPr>
            </w:pPr>
            <w:r>
              <w:rPr>
                <w:color w:val="auto"/>
                <w:position w:val="-12"/>
                <w:sz w:val="24"/>
              </w:rPr>
              <w:object>
                <v:shape id="_x0000_i1034" o:spt="75" type="#_x0000_t75" style="height:18.35pt;width:13.6pt;" o:ole="t" filled="f" o:preferrelative="t" stroked="f" coordsize="21600,21600">
                  <v:path/>
                  <v:fill on="f" focussize="0,0"/>
                  <v:stroke on="f" joinstyle="miter"/>
                  <v:imagedata r:id="rId44" o:title=""/>
                  <o:lock v:ext="edit" aspectratio="t"/>
                  <w10:wrap type="none"/>
                  <w10:anchorlock/>
                </v:shape>
                <o:OLEObject Type="Embed" ProgID="Equation.3" ShapeID="_x0000_i1034" DrawAspect="Content" ObjectID="_1468075734" r:id="rId43">
                  <o:LockedField>false</o:LockedField>
                </o:OLEObject>
              </w:object>
            </w:r>
            <w:r>
              <w:rPr>
                <w:color w:val="auto"/>
                <w:sz w:val="24"/>
              </w:rPr>
              <w:tab/>
            </w:r>
            <w:r>
              <w:rPr>
                <w:color w:val="auto"/>
                <w:sz w:val="24"/>
              </w:rPr>
              <w:t>－为产流期某时段损失水量（mm）；</w:t>
            </w:r>
          </w:p>
          <w:p>
            <w:pPr>
              <w:spacing w:line="360" w:lineRule="auto"/>
              <w:ind w:firstLine="480"/>
              <w:rPr>
                <w:color w:val="auto"/>
                <w:sz w:val="24"/>
              </w:rPr>
            </w:pPr>
            <w:r>
              <w:rPr>
                <w:color w:val="auto"/>
                <w:sz w:val="24"/>
              </w:rPr>
              <w:t>根据《宁夏暴雨洪水图集（2019年版）》产流分区，该地区为黄土丘陵半干旱区，平均损失率</w:t>
            </w:r>
            <w:r>
              <w:rPr>
                <w:color w:val="auto"/>
                <w:sz w:val="24"/>
              </w:rPr>
              <w:object>
                <v:shape id="_x0000_i1035" o:spt="75" type="#_x0000_t75" style="height:18.35pt;width:13.6pt;" o:ole="t" filled="f" o:preferrelative="t" stroked="f" coordsize="21600,21600">
                  <v:path/>
                  <v:fill on="f" focussize="0,0"/>
                  <v:stroke on="f" joinstyle="miter"/>
                  <v:imagedata r:id="rId44" o:title=""/>
                  <o:lock v:ext="edit" aspectratio="t"/>
                  <w10:wrap type="none"/>
                  <w10:anchorlock/>
                </v:shape>
                <o:OLEObject Type="Embed" ProgID="Equation.3" ShapeID="_x0000_i1035" DrawAspect="Content" ObjectID="_1468075735" r:id="rId45">
                  <o:LockedField>false</o:LockedField>
                </o:OLEObject>
              </w:object>
            </w:r>
            <w:r>
              <w:rPr>
                <w:color w:val="auto"/>
                <w:sz w:val="24"/>
              </w:rPr>
              <w:t xml:space="preserve">公式如下： </w:t>
            </w:r>
          </w:p>
          <w:p>
            <w:pPr>
              <w:spacing w:line="360" w:lineRule="auto"/>
              <w:ind w:firstLine="480"/>
              <w:rPr>
                <w:color w:val="auto"/>
                <w:sz w:val="24"/>
              </w:rPr>
            </w:pPr>
            <w:r>
              <w:rPr>
                <w:bCs/>
                <w:color w:val="auto"/>
                <w:sz w:val="24"/>
              </w:rPr>
              <w:t xml:space="preserve">            </w:t>
            </w:r>
            <w:r>
              <w:rPr>
                <w:color w:val="auto"/>
                <w:position w:val="-12"/>
                <w:sz w:val="24"/>
              </w:rPr>
              <w:object>
                <v:shape id="_x0000_i1036" o:spt="75" type="#_x0000_t75" style="height:21.05pt;width:156.3pt;" o:ole="t" filled="f" o:preferrelative="t" stroked="f" coordsize="21600,21600">
                  <v:path/>
                  <v:fill on="f" focussize="0,0"/>
                  <v:stroke on="f" joinstyle="miter"/>
                  <v:imagedata r:id="rId47" o:title=""/>
                  <o:lock v:ext="edit" aspectratio="t"/>
                  <w10:wrap type="none"/>
                  <w10:anchorlock/>
                </v:shape>
                <o:OLEObject Type="Embed" ProgID="Equation.3" ShapeID="_x0000_i1036" DrawAspect="Content" ObjectID="_1468075736" r:id="rId46">
                  <o:LockedField>false</o:LockedField>
                </o:OLEObject>
              </w:object>
            </w:r>
          </w:p>
          <w:p>
            <w:pPr>
              <w:pStyle w:val="44"/>
              <w:ind w:firstLine="480"/>
              <w:rPr>
                <w:color w:val="auto"/>
                <w:sz w:val="24"/>
                <w:szCs w:val="24"/>
              </w:rPr>
            </w:pPr>
            <w:bookmarkStart w:id="45" w:name="_Toc279390800"/>
            <w:bookmarkStart w:id="46" w:name="_Toc308883511"/>
            <w:bookmarkStart w:id="47" w:name="_Toc308726262"/>
            <w:bookmarkStart w:id="48" w:name="_Toc278381622"/>
            <w:bookmarkStart w:id="49" w:name="_Toc313563631"/>
            <w:bookmarkStart w:id="50" w:name="_Toc285549631"/>
            <w:r>
              <w:rPr>
                <w:rFonts w:hint="eastAsia"/>
                <w:color w:val="auto"/>
                <w:sz w:val="24"/>
                <w:szCs w:val="24"/>
              </w:rPr>
              <w:t>③</w:t>
            </w:r>
            <w:r>
              <w:rPr>
                <w:color w:val="auto"/>
                <w:sz w:val="24"/>
                <w:szCs w:val="24"/>
              </w:rPr>
              <w:t>汇流计算</w:t>
            </w:r>
            <w:bookmarkEnd w:id="45"/>
            <w:bookmarkEnd w:id="46"/>
            <w:bookmarkEnd w:id="47"/>
            <w:bookmarkEnd w:id="48"/>
            <w:bookmarkEnd w:id="49"/>
            <w:bookmarkEnd w:id="50"/>
          </w:p>
          <w:p>
            <w:pPr>
              <w:spacing w:line="360" w:lineRule="auto"/>
              <w:ind w:firstLine="480"/>
              <w:rPr>
                <w:color w:val="auto"/>
                <w:sz w:val="24"/>
              </w:rPr>
            </w:pPr>
            <w:r>
              <w:rPr>
                <w:color w:val="auto"/>
                <w:sz w:val="24"/>
              </w:rPr>
              <w:t>汇流计算是根据推求的设计净雨过程</w:t>
            </w:r>
            <w:r>
              <w:rPr>
                <w:color w:val="auto"/>
                <w:sz w:val="24"/>
                <w:vertAlign w:val="subscript"/>
              </w:rPr>
              <w:t xml:space="preserve"> </w:t>
            </w:r>
            <w:r>
              <w:rPr>
                <w:color w:val="auto"/>
                <w:sz w:val="24"/>
              </w:rPr>
              <w:t>R</w:t>
            </w:r>
            <w:r>
              <w:rPr>
                <w:color w:val="auto"/>
                <w:sz w:val="24"/>
                <w:vertAlign w:val="subscript"/>
              </w:rPr>
              <w:t>i</w:t>
            </w:r>
            <w:r>
              <w:rPr>
                <w:color w:val="auto"/>
                <w:sz w:val="24"/>
              </w:rPr>
              <w:t>推求流域出口断面的洪水流量过程，采用纳希瞬时单位线法推求。按瞬时单位线原理，就是净雨历时趋于零的极小时段内产生的一个单位净雨（1mm净雨深）在出口处所形成的流量过程线，其公式为：</w:t>
            </w:r>
          </w:p>
          <w:p>
            <w:pPr>
              <w:spacing w:line="360" w:lineRule="auto"/>
              <w:jc w:val="center"/>
              <w:rPr>
                <w:snapToGrid w:val="0"/>
                <w:color w:val="auto"/>
                <w:sz w:val="24"/>
              </w:rPr>
            </w:pPr>
            <w:r>
              <w:rPr>
                <w:snapToGrid w:val="0"/>
                <w:color w:val="auto"/>
                <w:sz w:val="24"/>
              </w:rPr>
              <w:t>u(t)=</w:t>
            </w:r>
            <w:r>
              <w:rPr>
                <w:snapToGrid w:val="0"/>
                <w:color w:val="auto"/>
                <w:sz w:val="24"/>
              </w:rPr>
              <w:object>
                <v:shape id="_x0000_i1037" o:spt="75" type="#_x0000_t75" style="height:33.3pt;width:93.7pt;" o:ole="t" fillcolor="#ACA899" filled="f" o:preferrelative="t" stroked="f" coordsize="21600,21600">
                  <v:path/>
                  <v:fill on="f" focussize="0,0"/>
                  <v:stroke on="f" joinstyle="miter"/>
                  <v:imagedata r:id="rId49" o:title=""/>
                  <o:lock v:ext="edit" aspectratio="t"/>
                  <w10:wrap type="none"/>
                  <w10:anchorlock/>
                </v:shape>
                <o:OLEObject Type="Embed" ProgID="Equation.3" ShapeID="_x0000_i1037" DrawAspect="Content" ObjectID="_1468075737" r:id="rId48">
                  <o:LockedField>false</o:LockedField>
                </o:OLEObject>
              </w:object>
            </w:r>
          </w:p>
          <w:p>
            <w:pPr>
              <w:spacing w:line="360" w:lineRule="auto"/>
              <w:ind w:firstLine="480"/>
              <w:rPr>
                <w:color w:val="auto"/>
                <w:sz w:val="24"/>
              </w:rPr>
            </w:pPr>
            <w:r>
              <w:rPr>
                <w:color w:val="auto"/>
                <w:sz w:val="24"/>
              </w:rPr>
              <w:t>式中： t——时段变量；</w:t>
            </w:r>
          </w:p>
          <w:p>
            <w:pPr>
              <w:spacing w:line="360" w:lineRule="auto"/>
              <w:ind w:firstLine="1262" w:firstLineChars="526"/>
              <w:rPr>
                <w:color w:val="auto"/>
                <w:sz w:val="24"/>
              </w:rPr>
            </w:pPr>
            <w:r>
              <w:rPr>
                <w:color w:val="auto"/>
                <w:sz w:val="24"/>
              </w:rPr>
              <w:t>u(t)——为t时的瞬时单位线的纵坐标；</w:t>
            </w:r>
          </w:p>
          <w:p>
            <w:pPr>
              <w:spacing w:line="360" w:lineRule="auto"/>
              <w:ind w:firstLine="1262" w:firstLineChars="526"/>
              <w:rPr>
                <w:color w:val="auto"/>
                <w:sz w:val="24"/>
              </w:rPr>
            </w:pPr>
            <w:r>
              <w:rPr>
                <w:color w:val="auto"/>
                <w:sz w:val="24"/>
              </w:rPr>
              <w:t>n,k——为瞬时单位线形状参数；</w:t>
            </w:r>
          </w:p>
          <w:p>
            <w:pPr>
              <w:spacing w:line="360" w:lineRule="auto"/>
              <w:ind w:firstLine="1262" w:firstLineChars="526"/>
              <w:rPr>
                <w:color w:val="auto"/>
                <w:sz w:val="24"/>
              </w:rPr>
            </w:pPr>
            <w:bookmarkStart w:id="51" w:name="_Toc279390801"/>
            <w:bookmarkStart w:id="52" w:name="_Toc278381623"/>
            <w:bookmarkStart w:id="53" w:name="_Toc278381512"/>
            <w:bookmarkStart w:id="54" w:name="_Toc279331164"/>
            <w:bookmarkStart w:id="55" w:name="_Toc278380761"/>
            <w:bookmarkStart w:id="56" w:name="_Toc278382319"/>
            <w:bookmarkStart w:id="57" w:name="_Toc285549632"/>
            <w:bookmarkStart w:id="58" w:name="_Toc278381921"/>
            <w:r>
              <w:rPr>
                <w:color w:val="auto"/>
                <w:sz w:val="24"/>
              </w:rPr>
              <w:t>Γ(n)——伽玛函数</w:t>
            </w:r>
            <w:bookmarkEnd w:id="51"/>
            <w:bookmarkEnd w:id="52"/>
            <w:bookmarkEnd w:id="53"/>
            <w:bookmarkEnd w:id="54"/>
            <w:bookmarkEnd w:id="55"/>
            <w:bookmarkEnd w:id="56"/>
            <w:bookmarkEnd w:id="57"/>
            <w:bookmarkEnd w:id="58"/>
          </w:p>
          <w:p>
            <w:pPr>
              <w:spacing w:line="360" w:lineRule="auto"/>
              <w:ind w:firstLine="480"/>
              <w:rPr>
                <w:color w:val="auto"/>
                <w:sz w:val="24"/>
              </w:rPr>
            </w:pPr>
            <w:r>
              <w:rPr>
                <w:color w:val="auto"/>
                <w:sz w:val="24"/>
              </w:rPr>
              <w:t>据上式可导出时段单位线方程式为：</w:t>
            </w:r>
          </w:p>
          <w:p>
            <w:pPr>
              <w:spacing w:line="360" w:lineRule="auto"/>
              <w:ind w:firstLine="480"/>
              <w:rPr>
                <w:color w:val="auto"/>
                <w:sz w:val="24"/>
              </w:rPr>
            </w:pPr>
            <w:r>
              <w:rPr>
                <w:color w:val="auto"/>
                <w:sz w:val="24"/>
              </w:rPr>
              <w:t>q(Δt</w:t>
            </w:r>
            <w:r>
              <w:rPr>
                <w:color w:val="auto"/>
                <w:sz w:val="24"/>
                <w:lang w:val="en-GB"/>
              </w:rPr>
              <w:t>·</w:t>
            </w:r>
            <w:r>
              <w:rPr>
                <w:color w:val="auto"/>
                <w:sz w:val="24"/>
              </w:rPr>
              <w:t>t)=</w:t>
            </w:r>
            <w:r>
              <w:rPr>
                <w:color w:val="auto"/>
                <w:position w:val="-34"/>
                <w:sz w:val="24"/>
              </w:rPr>
              <w:object>
                <v:shape id="_x0000_i1038" o:spt="75" type="#_x0000_t75" style="height:40.1pt;width:307pt;" o:ole="t" fillcolor="#ACA899" filled="f" o:preferrelative="t" stroked="f" coordsize="21600,21600">
                  <v:path/>
                  <v:fill on="f" focussize="0,0"/>
                  <v:stroke on="f" joinstyle="miter"/>
                  <v:imagedata r:id="rId51" o:title=""/>
                  <o:lock v:ext="edit" aspectratio="t"/>
                  <w10:wrap type="none"/>
                  <w10:anchorlock/>
                </v:shape>
                <o:OLEObject Type="Embed" ProgID="Equation.3" ShapeID="_x0000_i1038" DrawAspect="Content" ObjectID="_1468075738" r:id="rId50">
                  <o:LockedField>false</o:LockedField>
                </o:OLEObject>
              </w:object>
            </w:r>
          </w:p>
          <w:p>
            <w:pPr>
              <w:spacing w:line="360" w:lineRule="auto"/>
              <w:ind w:firstLine="480"/>
              <w:rPr>
                <w:color w:val="auto"/>
                <w:sz w:val="24"/>
              </w:rPr>
            </w:pPr>
            <w:r>
              <w:rPr>
                <w:color w:val="auto"/>
                <w:sz w:val="24"/>
              </w:rPr>
              <w:t>式中：q(Δt·t)面积为F的流域上，t时段内净雨量为1mm的单位线在t时段的纵坐标，以m</w:t>
            </w:r>
            <w:r>
              <w:rPr>
                <w:color w:val="auto"/>
                <w:sz w:val="24"/>
                <w:vertAlign w:val="superscript"/>
              </w:rPr>
              <w:t>3</w:t>
            </w:r>
            <w:r>
              <w:rPr>
                <w:color w:val="auto"/>
                <w:sz w:val="24"/>
              </w:rPr>
              <w:t>/s计;</w:t>
            </w:r>
          </w:p>
          <w:p>
            <w:pPr>
              <w:spacing w:line="360" w:lineRule="auto"/>
              <w:ind w:firstLine="480"/>
              <w:rPr>
                <w:color w:val="auto"/>
                <w:sz w:val="24"/>
              </w:rPr>
            </w:pPr>
            <w:bookmarkStart w:id="59" w:name="_Toc278381922"/>
            <w:bookmarkStart w:id="60" w:name="_Toc285549633"/>
            <w:bookmarkStart w:id="61" w:name="_Toc278381513"/>
            <w:bookmarkStart w:id="62" w:name="_Toc278381624"/>
            <w:bookmarkStart w:id="63" w:name="_Toc278382320"/>
            <w:bookmarkStart w:id="64" w:name="_Toc279390802"/>
            <w:bookmarkStart w:id="65" w:name="_Toc279331165"/>
            <w:bookmarkStart w:id="66" w:name="_Toc278380762"/>
            <w:r>
              <w:rPr>
                <w:color w:val="auto"/>
                <w:sz w:val="24"/>
              </w:rPr>
              <w:t>Δt——计算时段长（h）；</w:t>
            </w:r>
            <w:bookmarkEnd w:id="59"/>
            <w:bookmarkEnd w:id="60"/>
            <w:bookmarkEnd w:id="61"/>
            <w:bookmarkEnd w:id="62"/>
            <w:bookmarkEnd w:id="63"/>
            <w:bookmarkEnd w:id="64"/>
            <w:bookmarkEnd w:id="65"/>
            <w:bookmarkEnd w:id="66"/>
          </w:p>
          <w:p>
            <w:pPr>
              <w:spacing w:line="360" w:lineRule="auto"/>
              <w:ind w:firstLine="480"/>
              <w:rPr>
                <w:color w:val="auto"/>
                <w:sz w:val="24"/>
              </w:rPr>
            </w:pPr>
            <w:r>
              <w:rPr>
                <w:color w:val="auto"/>
                <w:position w:val="-24"/>
                <w:sz w:val="24"/>
              </w:rPr>
              <w:object>
                <v:shape id="_x0000_i1039" o:spt="75" type="#_x0000_t75" style="height:30.55pt;width:31.25pt;" o:ole="t" fillcolor="#ACA899" filled="f" o:preferrelative="t" stroked="f" coordsize="21600,21600">
                  <v:path/>
                  <v:fill on="f" focussize="0,0"/>
                  <v:stroke on="f" joinstyle="miter"/>
                  <v:imagedata r:id="rId53" o:title=""/>
                  <o:lock v:ext="edit" aspectratio="t"/>
                  <w10:wrap type="none"/>
                  <w10:anchorlock/>
                </v:shape>
                <o:OLEObject Type="Embed" ProgID="Equation.3" ShapeID="_x0000_i1039" DrawAspect="Content" ObjectID="_1468075739" r:id="rId52">
                  <o:LockedField>false</o:LockedField>
                </o:OLEObject>
              </w:object>
            </w:r>
            <w:r>
              <w:rPr>
                <w:color w:val="auto"/>
                <w:sz w:val="24"/>
              </w:rPr>
              <w:t>——换算系数；</w:t>
            </w:r>
          </w:p>
          <w:p>
            <w:pPr>
              <w:spacing w:line="360" w:lineRule="auto"/>
              <w:ind w:firstLine="480"/>
              <w:rPr>
                <w:color w:val="auto"/>
                <w:sz w:val="24"/>
              </w:rPr>
            </w:pPr>
            <w:r>
              <w:rPr>
                <w:color w:val="auto"/>
                <w:position w:val="-28"/>
                <w:sz w:val="24"/>
              </w:rPr>
              <w:object>
                <v:shape id="_x0000_i1040" o:spt="75" type="#_x0000_t75" style="height:33.3pt;width:113.45pt;" o:ole="t" fillcolor="#ACA899" filled="f" o:preferrelative="t" stroked="f" coordsize="21600,21600">
                  <v:path/>
                  <v:fill on="f" focussize="0,0"/>
                  <v:stroke on="f" joinstyle="miter"/>
                  <v:imagedata r:id="rId55" o:title=""/>
                  <o:lock v:ext="edit" aspectratio="t"/>
                  <w10:wrap type="none"/>
                  <w10:anchorlock/>
                </v:shape>
                <o:OLEObject Type="Embed" ProgID="Equation.3" ShapeID="_x0000_i1040" DrawAspect="Content" ObjectID="_1468075740" r:id="rId54">
                  <o:LockedField>false</o:LockedField>
                </o:OLEObject>
              </w:object>
            </w:r>
            <w:r>
              <w:rPr>
                <w:color w:val="auto"/>
                <w:sz w:val="24"/>
              </w:rPr>
              <w:t>——纳希瞬时单位的累积曲线，又称S(t)曲线；</w:t>
            </w:r>
          </w:p>
          <w:p>
            <w:pPr>
              <w:spacing w:line="360" w:lineRule="auto"/>
              <w:ind w:firstLine="480"/>
              <w:rPr>
                <w:color w:val="auto"/>
                <w:sz w:val="24"/>
              </w:rPr>
            </w:pPr>
            <w:r>
              <w:rPr>
                <w:color w:val="auto"/>
                <w:position w:val="-28"/>
                <w:sz w:val="24"/>
              </w:rPr>
              <w:object>
                <v:shape id="_x0000_i1041" o:spt="75" type="#_x0000_t75" style="height:36pt;width:146.7pt;" o:ole="t" fillcolor="#ACA899" filled="f" o:preferrelative="t" stroked="f" coordsize="21600,21600">
                  <v:path/>
                  <v:fill on="f" focussize="0,0"/>
                  <v:stroke on="f" joinstyle="miter"/>
                  <v:imagedata r:id="rId57" o:title=""/>
                  <o:lock v:ext="edit" aspectratio="t"/>
                  <w10:wrap type="none"/>
                  <w10:anchorlock/>
                </v:shape>
                <o:OLEObject Type="Embed" ProgID="Equation.3" ShapeID="_x0000_i1041" DrawAspect="Content" ObjectID="_1468075741" r:id="rId56">
                  <o:LockedField>false</o:LockedField>
                </o:OLEObject>
              </w:object>
            </w:r>
            <w:r>
              <w:rPr>
                <w:color w:val="auto"/>
                <w:sz w:val="24"/>
              </w:rPr>
              <w:t>——形同S(t)曲线，唯在时间坐标上错后Δt时，用S(t-Δt)表示。</w:t>
            </w:r>
          </w:p>
          <w:p>
            <w:pPr>
              <w:spacing w:line="360" w:lineRule="auto"/>
              <w:ind w:firstLine="480"/>
              <w:rPr>
                <w:color w:val="auto"/>
                <w:sz w:val="24"/>
              </w:rPr>
            </w:pPr>
            <w:r>
              <w:rPr>
                <w:color w:val="auto"/>
                <w:sz w:val="24"/>
              </w:rPr>
              <w:t>[S(t)- S(t-Δt)]简写为ΔS(t)，称为Δt小时无因次时段t时的纵高。一般以μ(Δt·t)表示。</w:t>
            </w:r>
          </w:p>
          <w:p>
            <w:pPr>
              <w:pStyle w:val="44"/>
              <w:ind w:firstLine="480"/>
              <w:rPr>
                <w:color w:val="auto"/>
                <w:sz w:val="24"/>
                <w:szCs w:val="24"/>
              </w:rPr>
            </w:pPr>
            <w:bookmarkStart w:id="67" w:name="_Toc308726263"/>
            <w:bookmarkStart w:id="68" w:name="_Toc285549634"/>
            <w:bookmarkStart w:id="69" w:name="_Toc313563632"/>
            <w:bookmarkStart w:id="70" w:name="_Toc308883512"/>
            <w:bookmarkStart w:id="71" w:name="_Toc278381625"/>
            <w:bookmarkStart w:id="72" w:name="_Toc279390803"/>
            <w:r>
              <w:rPr>
                <w:rFonts w:hint="eastAsia"/>
                <w:color w:val="auto"/>
                <w:sz w:val="24"/>
                <w:szCs w:val="24"/>
              </w:rPr>
              <w:t>④</w:t>
            </w:r>
            <w:r>
              <w:rPr>
                <w:color w:val="auto"/>
                <w:sz w:val="24"/>
                <w:szCs w:val="24"/>
              </w:rPr>
              <w:t>计算参数</w:t>
            </w:r>
            <w:bookmarkEnd w:id="67"/>
            <w:bookmarkEnd w:id="68"/>
            <w:bookmarkEnd w:id="69"/>
            <w:bookmarkEnd w:id="70"/>
            <w:bookmarkEnd w:id="71"/>
            <w:bookmarkEnd w:id="72"/>
          </w:p>
          <w:p>
            <w:pPr>
              <w:spacing w:line="360" w:lineRule="auto"/>
              <w:ind w:firstLine="480"/>
              <w:rPr>
                <w:color w:val="auto"/>
                <w:sz w:val="24"/>
              </w:rPr>
            </w:pPr>
            <w:r>
              <w:rPr>
                <w:color w:val="auto"/>
                <w:sz w:val="24"/>
              </w:rPr>
              <w:t>在计算瞬时单位线，进行洪水演进时，须求得参数n，k，滞时M，</w:t>
            </w:r>
          </w:p>
          <w:p>
            <w:pPr>
              <w:spacing w:line="360" w:lineRule="auto"/>
              <w:ind w:firstLine="480"/>
              <w:rPr>
                <w:color w:val="auto"/>
                <w:sz w:val="24"/>
              </w:rPr>
            </w:pPr>
            <w:r>
              <w:rPr>
                <w:color w:val="auto"/>
                <w:sz w:val="24"/>
              </w:rPr>
              <w:t>计算公式如下：</w:t>
            </w:r>
          </w:p>
          <w:p>
            <w:pPr>
              <w:spacing w:line="360" w:lineRule="auto"/>
              <w:ind w:firstLine="480"/>
              <w:rPr>
                <w:color w:val="auto"/>
                <w:sz w:val="24"/>
              </w:rPr>
            </w:pPr>
            <w:r>
              <w:rPr>
                <w:color w:val="auto"/>
                <w:sz w:val="24"/>
              </w:rPr>
              <w:t>黄土丘陵区：n=1.22L</w:t>
            </w:r>
            <w:r>
              <w:rPr>
                <w:color w:val="auto"/>
                <w:sz w:val="24"/>
                <w:vertAlign w:val="superscript"/>
              </w:rPr>
              <w:t>0.231</w:t>
            </w:r>
            <w:r>
              <w:rPr>
                <w:color w:val="auto"/>
                <w:sz w:val="24"/>
              </w:rPr>
              <w:t>，K=M</w:t>
            </w:r>
            <w:r>
              <w:rPr>
                <w:color w:val="auto"/>
                <w:sz w:val="24"/>
                <w:vertAlign w:val="subscript"/>
              </w:rPr>
              <w:t>1i</w:t>
            </w:r>
            <w:r>
              <w:rPr>
                <w:color w:val="auto"/>
                <w:sz w:val="24"/>
              </w:rPr>
              <w:t>/n，M</w:t>
            </w:r>
            <w:r>
              <w:rPr>
                <w:color w:val="auto"/>
                <w:sz w:val="24"/>
                <w:vertAlign w:val="subscript"/>
              </w:rPr>
              <w:t>1i</w:t>
            </w:r>
            <w:r>
              <w:rPr>
                <w:color w:val="auto"/>
                <w:sz w:val="24"/>
              </w:rPr>
              <w:t>=0.148L</w:t>
            </w:r>
            <w:r>
              <w:rPr>
                <w:color w:val="auto"/>
                <w:sz w:val="24"/>
                <w:vertAlign w:val="superscript"/>
              </w:rPr>
              <w:t>0.9</w:t>
            </w:r>
            <w:r>
              <w:rPr>
                <w:color w:val="auto"/>
                <w:sz w:val="24"/>
              </w:rPr>
              <w:t>i</w:t>
            </w:r>
            <w:r>
              <w:rPr>
                <w:color w:val="auto"/>
                <w:sz w:val="24"/>
                <w:vertAlign w:val="superscript"/>
              </w:rPr>
              <w:t>-0.093</w:t>
            </w:r>
          </w:p>
          <w:p>
            <w:pPr>
              <w:spacing w:line="360" w:lineRule="auto"/>
              <w:ind w:firstLine="480"/>
              <w:rPr>
                <w:color w:val="auto"/>
                <w:sz w:val="24"/>
              </w:rPr>
            </w:pPr>
            <w:r>
              <w:rPr>
                <w:color w:val="auto"/>
                <w:sz w:val="24"/>
              </w:rPr>
              <w:t>i——产流区平均净雨强度（mm/h）；</w:t>
            </w:r>
          </w:p>
          <w:p>
            <w:pPr>
              <w:spacing w:line="360" w:lineRule="auto"/>
              <w:ind w:firstLine="480"/>
              <w:rPr>
                <w:color w:val="auto"/>
                <w:sz w:val="24"/>
              </w:rPr>
            </w:pPr>
            <w:bookmarkStart w:id="73" w:name="_Toc279331167"/>
            <w:bookmarkStart w:id="74" w:name="_Toc278381626"/>
            <w:bookmarkStart w:id="75" w:name="_Toc278381924"/>
            <w:bookmarkStart w:id="76" w:name="_Toc279390804"/>
            <w:bookmarkStart w:id="77" w:name="_Toc278381515"/>
            <w:bookmarkStart w:id="78" w:name="_Toc278382322"/>
            <w:bookmarkStart w:id="79" w:name="_Toc285549635"/>
            <w:bookmarkStart w:id="80" w:name="_Toc278380764"/>
            <w:r>
              <w:rPr>
                <w:color w:val="auto"/>
                <w:sz w:val="24"/>
              </w:rPr>
              <w:t>L——概化长度（km）。</w:t>
            </w:r>
            <w:bookmarkEnd w:id="73"/>
            <w:bookmarkEnd w:id="74"/>
            <w:bookmarkEnd w:id="75"/>
            <w:bookmarkEnd w:id="76"/>
            <w:bookmarkEnd w:id="77"/>
            <w:bookmarkEnd w:id="78"/>
            <w:bookmarkEnd w:id="79"/>
            <w:bookmarkEnd w:id="80"/>
          </w:p>
          <w:p>
            <w:pPr>
              <w:spacing w:line="360" w:lineRule="auto"/>
              <w:ind w:firstLine="480" w:firstLineChars="200"/>
              <w:rPr>
                <w:color w:val="auto"/>
                <w:sz w:val="24"/>
              </w:rPr>
            </w:pPr>
            <w:bookmarkStart w:id="81" w:name="_Toc278381627"/>
            <w:bookmarkStart w:id="82" w:name="_Toc313563633"/>
            <w:bookmarkStart w:id="83" w:name="_Toc279390805"/>
            <w:bookmarkStart w:id="84" w:name="_Toc285549636"/>
            <w:bookmarkStart w:id="85" w:name="_Toc308883513"/>
            <w:bookmarkStart w:id="86" w:name="_Toc308726264"/>
            <w:r>
              <w:rPr>
                <w:rFonts w:hint="eastAsia"/>
                <w:color w:val="auto"/>
                <w:sz w:val="24"/>
              </w:rPr>
              <w:t>⑤</w:t>
            </w:r>
            <w:r>
              <w:rPr>
                <w:color w:val="auto"/>
                <w:sz w:val="24"/>
              </w:rPr>
              <w:t>计算成果</w:t>
            </w:r>
            <w:bookmarkEnd w:id="81"/>
            <w:bookmarkEnd w:id="82"/>
            <w:bookmarkEnd w:id="83"/>
            <w:bookmarkEnd w:id="84"/>
            <w:bookmarkEnd w:id="85"/>
            <w:bookmarkEnd w:id="86"/>
          </w:p>
          <w:p>
            <w:pPr>
              <w:spacing w:line="360" w:lineRule="auto"/>
              <w:ind w:firstLine="480"/>
              <w:jc w:val="left"/>
              <w:rPr>
                <w:color w:val="auto"/>
              </w:rPr>
            </w:pPr>
            <w:r>
              <w:rPr>
                <w:color w:val="auto"/>
                <w:sz w:val="24"/>
              </w:rPr>
              <w:t>根据产流面积、概化河长及清浑比，不同频率设计洪峰流量见表2</w:t>
            </w:r>
            <w:r>
              <w:rPr>
                <w:rFonts w:hint="eastAsia"/>
                <w:color w:val="auto"/>
                <w:sz w:val="24"/>
              </w:rPr>
              <w:t>-</w:t>
            </w:r>
            <w:r>
              <w:rPr>
                <w:color w:val="auto"/>
                <w:sz w:val="24"/>
              </w:rPr>
              <w:t>12。</w:t>
            </w:r>
          </w:p>
          <w:p>
            <w:pPr>
              <w:ind w:firstLine="482"/>
              <w:rPr>
                <w:b/>
                <w:color w:val="auto"/>
                <w:sz w:val="24"/>
              </w:rPr>
            </w:pPr>
            <w:r>
              <w:rPr>
                <w:b/>
                <w:color w:val="auto"/>
                <w:sz w:val="24"/>
              </w:rPr>
              <w:t>表2</w:t>
            </w:r>
            <w:r>
              <w:rPr>
                <w:rFonts w:hint="eastAsia"/>
                <w:b/>
                <w:color w:val="auto"/>
                <w:sz w:val="24"/>
              </w:rPr>
              <w:t>-</w:t>
            </w:r>
            <w:r>
              <w:rPr>
                <w:b/>
                <w:color w:val="auto"/>
                <w:sz w:val="24"/>
              </w:rPr>
              <w:t>12             不同频率洪峰流量表             单位：m</w:t>
            </w:r>
            <w:r>
              <w:rPr>
                <w:b/>
                <w:color w:val="auto"/>
                <w:sz w:val="24"/>
                <w:vertAlign w:val="superscript"/>
              </w:rPr>
              <w:t>3</w:t>
            </w:r>
            <w:r>
              <w:rPr>
                <w:b/>
                <w:color w:val="auto"/>
                <w:sz w:val="24"/>
              </w:rPr>
              <w:t>/s</w:t>
            </w:r>
          </w:p>
          <w:tbl>
            <w:tblPr>
              <w:tblStyle w:val="19"/>
              <w:tblW w:w="50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950"/>
              <w:gridCol w:w="950"/>
              <w:gridCol w:w="950"/>
              <w:gridCol w:w="978"/>
              <w:gridCol w:w="839"/>
              <w:gridCol w:w="839"/>
              <w:gridCol w:w="839"/>
              <w:gridCol w:w="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09" w:type="pct"/>
                  <w:vMerge w:val="restart"/>
                  <w:tcBorders>
                    <w:tl2br w:val="nil"/>
                    <w:tr2bl w:val="nil"/>
                  </w:tcBorders>
                  <w:vAlign w:val="center"/>
                </w:tcPr>
                <w:p>
                  <w:pPr>
                    <w:jc w:val="center"/>
                    <w:rPr>
                      <w:b/>
                      <w:bCs/>
                      <w:color w:val="auto"/>
                      <w:szCs w:val="21"/>
                    </w:rPr>
                  </w:pPr>
                  <w:r>
                    <w:rPr>
                      <w:b/>
                      <w:bCs/>
                      <w:color w:val="auto"/>
                      <w:szCs w:val="21"/>
                    </w:rPr>
                    <w:t>断面名称</w:t>
                  </w:r>
                </w:p>
              </w:tc>
              <w:tc>
                <w:tcPr>
                  <w:tcW w:w="2289" w:type="pct"/>
                  <w:gridSpan w:val="4"/>
                  <w:tcBorders>
                    <w:tl2br w:val="nil"/>
                    <w:tr2bl w:val="nil"/>
                  </w:tcBorders>
                  <w:vAlign w:val="center"/>
                </w:tcPr>
                <w:p>
                  <w:pPr>
                    <w:jc w:val="center"/>
                    <w:rPr>
                      <w:b/>
                      <w:bCs/>
                      <w:color w:val="auto"/>
                      <w:szCs w:val="21"/>
                    </w:rPr>
                  </w:pPr>
                  <w:r>
                    <w:rPr>
                      <w:rFonts w:hint="eastAsia"/>
                      <w:b/>
                      <w:bCs/>
                      <w:color w:val="auto"/>
                      <w:szCs w:val="21"/>
                    </w:rPr>
                    <w:t>典型雨型</w:t>
                  </w:r>
                  <w:r>
                    <w:rPr>
                      <w:b/>
                      <w:bCs/>
                      <w:color w:val="auto"/>
                      <w:szCs w:val="21"/>
                    </w:rPr>
                    <w:t>计算洪峰流量</w:t>
                  </w:r>
                </w:p>
              </w:tc>
              <w:tc>
                <w:tcPr>
                  <w:tcW w:w="2003" w:type="pct"/>
                  <w:gridSpan w:val="4"/>
                  <w:tcBorders>
                    <w:tl2br w:val="nil"/>
                    <w:tr2bl w:val="nil"/>
                  </w:tcBorders>
                  <w:vAlign w:val="center"/>
                </w:tcPr>
                <w:p>
                  <w:pPr>
                    <w:jc w:val="center"/>
                    <w:rPr>
                      <w:b/>
                      <w:bCs/>
                      <w:color w:val="auto"/>
                      <w:szCs w:val="21"/>
                    </w:rPr>
                  </w:pPr>
                  <w:r>
                    <w:rPr>
                      <w:rFonts w:hint="eastAsia"/>
                      <w:b/>
                      <w:bCs/>
                      <w:color w:val="auto"/>
                      <w:szCs w:val="21"/>
                    </w:rPr>
                    <w:t>同频内包</w:t>
                  </w:r>
                  <w:r>
                    <w:rPr>
                      <w:b/>
                      <w:bCs/>
                      <w:color w:val="auto"/>
                      <w:szCs w:val="21"/>
                    </w:rPr>
                    <w:t>计算洪峰流量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09" w:type="pct"/>
                  <w:vMerge w:val="continue"/>
                  <w:tcBorders>
                    <w:tl2br w:val="nil"/>
                    <w:tr2bl w:val="nil"/>
                  </w:tcBorders>
                  <w:vAlign w:val="center"/>
                </w:tcPr>
                <w:p>
                  <w:pPr>
                    <w:jc w:val="center"/>
                    <w:rPr>
                      <w:b/>
                      <w:bCs/>
                      <w:color w:val="auto"/>
                      <w:szCs w:val="21"/>
                    </w:rPr>
                  </w:pPr>
                </w:p>
              </w:tc>
              <w:tc>
                <w:tcPr>
                  <w:tcW w:w="568" w:type="pct"/>
                  <w:tcBorders>
                    <w:tl2br w:val="nil"/>
                    <w:tr2bl w:val="nil"/>
                  </w:tcBorders>
                  <w:vAlign w:val="center"/>
                </w:tcPr>
                <w:p>
                  <w:pPr>
                    <w:jc w:val="center"/>
                    <w:rPr>
                      <w:b/>
                      <w:bCs/>
                      <w:color w:val="auto"/>
                      <w:szCs w:val="21"/>
                    </w:rPr>
                  </w:pPr>
                  <w:r>
                    <w:rPr>
                      <w:rFonts w:hint="eastAsia"/>
                      <w:b/>
                      <w:bCs/>
                      <w:color w:val="auto"/>
                      <w:szCs w:val="21"/>
                    </w:rPr>
                    <w:t>0.33%</w:t>
                  </w:r>
                </w:p>
              </w:tc>
              <w:tc>
                <w:tcPr>
                  <w:tcW w:w="568" w:type="pct"/>
                  <w:tcBorders>
                    <w:tl2br w:val="nil"/>
                    <w:tr2bl w:val="nil"/>
                  </w:tcBorders>
                  <w:vAlign w:val="center"/>
                </w:tcPr>
                <w:p>
                  <w:pPr>
                    <w:jc w:val="center"/>
                    <w:rPr>
                      <w:b/>
                      <w:bCs/>
                      <w:color w:val="auto"/>
                      <w:szCs w:val="21"/>
                    </w:rPr>
                  </w:pPr>
                  <w:r>
                    <w:rPr>
                      <w:rFonts w:hint="eastAsia"/>
                      <w:b/>
                      <w:bCs/>
                      <w:color w:val="auto"/>
                      <w:szCs w:val="21"/>
                    </w:rPr>
                    <w:t>1.0%</w:t>
                  </w:r>
                </w:p>
              </w:tc>
              <w:tc>
                <w:tcPr>
                  <w:tcW w:w="568" w:type="pct"/>
                  <w:tcBorders>
                    <w:tl2br w:val="nil"/>
                    <w:tr2bl w:val="nil"/>
                  </w:tcBorders>
                  <w:vAlign w:val="center"/>
                </w:tcPr>
                <w:p>
                  <w:pPr>
                    <w:jc w:val="center"/>
                    <w:rPr>
                      <w:b/>
                      <w:bCs/>
                      <w:color w:val="auto"/>
                      <w:szCs w:val="21"/>
                    </w:rPr>
                  </w:pPr>
                  <w:r>
                    <w:rPr>
                      <w:rFonts w:hint="eastAsia"/>
                      <w:b/>
                      <w:bCs/>
                      <w:color w:val="auto"/>
                      <w:szCs w:val="21"/>
                    </w:rPr>
                    <w:t>3.33%</w:t>
                  </w:r>
                </w:p>
              </w:tc>
              <w:tc>
                <w:tcPr>
                  <w:tcW w:w="584" w:type="pct"/>
                  <w:tcBorders>
                    <w:tl2br w:val="nil"/>
                    <w:tr2bl w:val="nil"/>
                  </w:tcBorders>
                  <w:vAlign w:val="center"/>
                </w:tcPr>
                <w:p>
                  <w:pPr>
                    <w:jc w:val="center"/>
                    <w:rPr>
                      <w:b/>
                      <w:bCs/>
                      <w:color w:val="auto"/>
                      <w:szCs w:val="21"/>
                    </w:rPr>
                  </w:pPr>
                  <w:r>
                    <w:rPr>
                      <w:rFonts w:hint="eastAsia"/>
                      <w:b/>
                      <w:bCs/>
                      <w:color w:val="auto"/>
                      <w:szCs w:val="21"/>
                    </w:rPr>
                    <w:t>10%</w:t>
                  </w:r>
                </w:p>
              </w:tc>
              <w:tc>
                <w:tcPr>
                  <w:tcW w:w="502" w:type="pct"/>
                  <w:tcBorders>
                    <w:tl2br w:val="nil"/>
                    <w:tr2bl w:val="nil"/>
                  </w:tcBorders>
                  <w:vAlign w:val="center"/>
                </w:tcPr>
                <w:p>
                  <w:pPr>
                    <w:jc w:val="center"/>
                    <w:rPr>
                      <w:b/>
                      <w:bCs/>
                      <w:color w:val="auto"/>
                      <w:szCs w:val="21"/>
                    </w:rPr>
                  </w:pPr>
                  <w:r>
                    <w:rPr>
                      <w:rFonts w:hint="eastAsia"/>
                      <w:b/>
                      <w:bCs/>
                      <w:color w:val="auto"/>
                      <w:szCs w:val="21"/>
                    </w:rPr>
                    <w:t>0.33%</w:t>
                  </w:r>
                </w:p>
              </w:tc>
              <w:tc>
                <w:tcPr>
                  <w:tcW w:w="502" w:type="pct"/>
                  <w:tcBorders>
                    <w:tl2br w:val="nil"/>
                    <w:tr2bl w:val="nil"/>
                  </w:tcBorders>
                  <w:vAlign w:val="center"/>
                </w:tcPr>
                <w:p>
                  <w:pPr>
                    <w:jc w:val="center"/>
                    <w:rPr>
                      <w:b/>
                      <w:bCs/>
                      <w:color w:val="auto"/>
                      <w:szCs w:val="21"/>
                    </w:rPr>
                  </w:pPr>
                  <w:r>
                    <w:rPr>
                      <w:rFonts w:hint="eastAsia"/>
                      <w:b/>
                      <w:bCs/>
                      <w:color w:val="auto"/>
                      <w:szCs w:val="21"/>
                    </w:rPr>
                    <w:t>1.0%</w:t>
                  </w:r>
                </w:p>
              </w:tc>
              <w:tc>
                <w:tcPr>
                  <w:tcW w:w="502" w:type="pct"/>
                  <w:tcBorders>
                    <w:tl2br w:val="nil"/>
                    <w:tr2bl w:val="nil"/>
                  </w:tcBorders>
                  <w:vAlign w:val="center"/>
                </w:tcPr>
                <w:p>
                  <w:pPr>
                    <w:jc w:val="center"/>
                    <w:rPr>
                      <w:b/>
                      <w:bCs/>
                      <w:color w:val="auto"/>
                      <w:szCs w:val="21"/>
                    </w:rPr>
                  </w:pPr>
                  <w:r>
                    <w:rPr>
                      <w:rFonts w:hint="eastAsia"/>
                      <w:b/>
                      <w:bCs/>
                      <w:color w:val="auto"/>
                      <w:szCs w:val="21"/>
                    </w:rPr>
                    <w:t>3.33%</w:t>
                  </w:r>
                </w:p>
              </w:tc>
              <w:tc>
                <w:tcPr>
                  <w:tcW w:w="497" w:type="pct"/>
                  <w:tcBorders>
                    <w:tl2br w:val="nil"/>
                    <w:tr2bl w:val="nil"/>
                  </w:tcBorders>
                  <w:vAlign w:val="center"/>
                </w:tcPr>
                <w:p>
                  <w:pPr>
                    <w:jc w:val="center"/>
                    <w:rPr>
                      <w:b/>
                      <w:bCs/>
                      <w:color w:val="auto"/>
                      <w:szCs w:val="21"/>
                    </w:rPr>
                  </w:pPr>
                  <w:r>
                    <w:rPr>
                      <w:rFonts w:hint="eastAsia"/>
                      <w:b/>
                      <w:bCs/>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pct"/>
                  <w:tcBorders>
                    <w:tl2br w:val="nil"/>
                    <w:tr2bl w:val="nil"/>
                  </w:tcBorders>
                  <w:vAlign w:val="center"/>
                </w:tcPr>
                <w:p>
                  <w:pPr>
                    <w:jc w:val="center"/>
                    <w:rPr>
                      <w:color w:val="auto"/>
                      <w:szCs w:val="21"/>
                    </w:rPr>
                  </w:pPr>
                  <w:r>
                    <w:rPr>
                      <w:color w:val="auto"/>
                      <w:szCs w:val="21"/>
                    </w:rPr>
                    <w:t>1号</w:t>
                  </w:r>
                </w:p>
              </w:tc>
              <w:tc>
                <w:tcPr>
                  <w:tcW w:w="568" w:type="pct"/>
                  <w:tcBorders>
                    <w:tl2br w:val="nil"/>
                    <w:tr2bl w:val="nil"/>
                  </w:tcBorders>
                  <w:vAlign w:val="center"/>
                </w:tcPr>
                <w:p>
                  <w:pPr>
                    <w:jc w:val="center"/>
                    <w:rPr>
                      <w:color w:val="auto"/>
                      <w:szCs w:val="21"/>
                    </w:rPr>
                  </w:pPr>
                  <w:r>
                    <w:rPr>
                      <w:rFonts w:hint="eastAsia"/>
                      <w:color w:val="auto"/>
                      <w:szCs w:val="21"/>
                    </w:rPr>
                    <w:t>27.7</w:t>
                  </w:r>
                </w:p>
              </w:tc>
              <w:tc>
                <w:tcPr>
                  <w:tcW w:w="568" w:type="pct"/>
                  <w:tcBorders>
                    <w:tl2br w:val="nil"/>
                    <w:tr2bl w:val="nil"/>
                  </w:tcBorders>
                  <w:vAlign w:val="center"/>
                </w:tcPr>
                <w:p>
                  <w:pPr>
                    <w:jc w:val="center"/>
                    <w:rPr>
                      <w:color w:val="auto"/>
                      <w:szCs w:val="21"/>
                    </w:rPr>
                  </w:pPr>
                  <w:r>
                    <w:rPr>
                      <w:rFonts w:hint="eastAsia"/>
                      <w:color w:val="auto"/>
                      <w:szCs w:val="21"/>
                    </w:rPr>
                    <w:t>22.8</w:t>
                  </w:r>
                </w:p>
              </w:tc>
              <w:tc>
                <w:tcPr>
                  <w:tcW w:w="568" w:type="pct"/>
                  <w:tcBorders>
                    <w:tl2br w:val="nil"/>
                    <w:tr2bl w:val="nil"/>
                  </w:tcBorders>
                  <w:vAlign w:val="center"/>
                </w:tcPr>
                <w:p>
                  <w:pPr>
                    <w:jc w:val="center"/>
                    <w:rPr>
                      <w:color w:val="auto"/>
                      <w:szCs w:val="21"/>
                    </w:rPr>
                  </w:pPr>
                  <w:r>
                    <w:rPr>
                      <w:rFonts w:hint="eastAsia"/>
                      <w:color w:val="auto"/>
                      <w:szCs w:val="21"/>
                    </w:rPr>
                    <w:t>16.6</w:t>
                  </w:r>
                </w:p>
              </w:tc>
              <w:tc>
                <w:tcPr>
                  <w:tcW w:w="584" w:type="pct"/>
                  <w:tcBorders>
                    <w:tl2br w:val="nil"/>
                    <w:tr2bl w:val="nil"/>
                  </w:tcBorders>
                  <w:vAlign w:val="center"/>
                </w:tcPr>
                <w:p>
                  <w:pPr>
                    <w:jc w:val="center"/>
                    <w:rPr>
                      <w:color w:val="auto"/>
                      <w:szCs w:val="21"/>
                    </w:rPr>
                  </w:pPr>
                  <w:r>
                    <w:rPr>
                      <w:rFonts w:hint="eastAsia"/>
                      <w:color w:val="auto"/>
                      <w:szCs w:val="21"/>
                    </w:rPr>
                    <w:t>11.8</w:t>
                  </w:r>
                </w:p>
              </w:tc>
              <w:tc>
                <w:tcPr>
                  <w:tcW w:w="502" w:type="pct"/>
                  <w:tcBorders>
                    <w:tl2br w:val="nil"/>
                    <w:tr2bl w:val="nil"/>
                  </w:tcBorders>
                  <w:vAlign w:val="center"/>
                </w:tcPr>
                <w:p>
                  <w:pPr>
                    <w:jc w:val="center"/>
                    <w:rPr>
                      <w:color w:val="auto"/>
                      <w:szCs w:val="21"/>
                    </w:rPr>
                  </w:pPr>
                  <w:r>
                    <w:rPr>
                      <w:rFonts w:hint="eastAsia"/>
                      <w:color w:val="auto"/>
                      <w:szCs w:val="21"/>
                    </w:rPr>
                    <w:t>66.0</w:t>
                  </w:r>
                </w:p>
              </w:tc>
              <w:tc>
                <w:tcPr>
                  <w:tcW w:w="502" w:type="pct"/>
                  <w:tcBorders>
                    <w:tl2br w:val="nil"/>
                    <w:tr2bl w:val="nil"/>
                  </w:tcBorders>
                  <w:vAlign w:val="center"/>
                </w:tcPr>
                <w:p>
                  <w:pPr>
                    <w:jc w:val="center"/>
                    <w:rPr>
                      <w:color w:val="auto"/>
                      <w:szCs w:val="21"/>
                    </w:rPr>
                  </w:pPr>
                  <w:r>
                    <w:rPr>
                      <w:rFonts w:hint="eastAsia"/>
                      <w:color w:val="auto"/>
                      <w:szCs w:val="21"/>
                    </w:rPr>
                    <w:t>50.0</w:t>
                  </w:r>
                </w:p>
              </w:tc>
              <w:tc>
                <w:tcPr>
                  <w:tcW w:w="502" w:type="pct"/>
                  <w:tcBorders>
                    <w:tl2br w:val="nil"/>
                    <w:tr2bl w:val="nil"/>
                  </w:tcBorders>
                  <w:vAlign w:val="center"/>
                </w:tcPr>
                <w:p>
                  <w:pPr>
                    <w:jc w:val="center"/>
                    <w:rPr>
                      <w:color w:val="auto"/>
                      <w:szCs w:val="21"/>
                    </w:rPr>
                  </w:pPr>
                  <w:r>
                    <w:rPr>
                      <w:rFonts w:hint="eastAsia"/>
                      <w:color w:val="auto"/>
                      <w:szCs w:val="21"/>
                    </w:rPr>
                    <w:t>33.7</w:t>
                  </w:r>
                </w:p>
              </w:tc>
              <w:tc>
                <w:tcPr>
                  <w:tcW w:w="497" w:type="pct"/>
                  <w:tcBorders>
                    <w:tl2br w:val="nil"/>
                    <w:tr2bl w:val="nil"/>
                  </w:tcBorders>
                  <w:vAlign w:val="center"/>
                </w:tcPr>
                <w:p>
                  <w:pPr>
                    <w:jc w:val="center"/>
                    <w:rPr>
                      <w:color w:val="auto"/>
                      <w:szCs w:val="21"/>
                    </w:rPr>
                  </w:pPr>
                  <w:r>
                    <w:rPr>
                      <w:rFonts w:hint="eastAsia"/>
                      <w:color w:val="auto"/>
                      <w:szCs w:val="21"/>
                    </w:rPr>
                    <w:t>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pct"/>
                  <w:tcBorders>
                    <w:tl2br w:val="nil"/>
                    <w:tr2bl w:val="nil"/>
                  </w:tcBorders>
                  <w:vAlign w:val="center"/>
                </w:tcPr>
                <w:p>
                  <w:pPr>
                    <w:jc w:val="center"/>
                    <w:rPr>
                      <w:color w:val="auto"/>
                      <w:szCs w:val="21"/>
                    </w:rPr>
                  </w:pPr>
                  <w:r>
                    <w:rPr>
                      <w:color w:val="auto"/>
                      <w:szCs w:val="21"/>
                    </w:rPr>
                    <w:t>2号</w:t>
                  </w:r>
                </w:p>
              </w:tc>
              <w:tc>
                <w:tcPr>
                  <w:tcW w:w="568" w:type="pct"/>
                  <w:tcBorders>
                    <w:tl2br w:val="nil"/>
                    <w:tr2bl w:val="nil"/>
                  </w:tcBorders>
                  <w:vAlign w:val="center"/>
                </w:tcPr>
                <w:p>
                  <w:pPr>
                    <w:jc w:val="center"/>
                    <w:rPr>
                      <w:color w:val="auto"/>
                      <w:szCs w:val="21"/>
                    </w:rPr>
                  </w:pPr>
                  <w:r>
                    <w:rPr>
                      <w:rFonts w:hint="eastAsia"/>
                      <w:color w:val="auto"/>
                      <w:szCs w:val="21"/>
                    </w:rPr>
                    <w:t>29.9</w:t>
                  </w:r>
                </w:p>
              </w:tc>
              <w:tc>
                <w:tcPr>
                  <w:tcW w:w="568" w:type="pct"/>
                  <w:tcBorders>
                    <w:tl2br w:val="nil"/>
                    <w:tr2bl w:val="nil"/>
                  </w:tcBorders>
                  <w:vAlign w:val="center"/>
                </w:tcPr>
                <w:p>
                  <w:pPr>
                    <w:jc w:val="center"/>
                    <w:rPr>
                      <w:color w:val="auto"/>
                      <w:szCs w:val="21"/>
                    </w:rPr>
                  </w:pPr>
                  <w:r>
                    <w:rPr>
                      <w:rFonts w:hint="eastAsia"/>
                      <w:color w:val="auto"/>
                      <w:szCs w:val="21"/>
                    </w:rPr>
                    <w:t>24.6</w:t>
                  </w:r>
                </w:p>
              </w:tc>
              <w:tc>
                <w:tcPr>
                  <w:tcW w:w="568" w:type="pct"/>
                  <w:tcBorders>
                    <w:tl2br w:val="nil"/>
                    <w:tr2bl w:val="nil"/>
                  </w:tcBorders>
                  <w:vAlign w:val="center"/>
                </w:tcPr>
                <w:p>
                  <w:pPr>
                    <w:jc w:val="center"/>
                    <w:rPr>
                      <w:color w:val="auto"/>
                      <w:szCs w:val="21"/>
                    </w:rPr>
                  </w:pPr>
                  <w:r>
                    <w:rPr>
                      <w:rFonts w:hint="eastAsia"/>
                      <w:color w:val="auto"/>
                      <w:szCs w:val="21"/>
                    </w:rPr>
                    <w:t>17.9</w:t>
                  </w:r>
                </w:p>
              </w:tc>
              <w:tc>
                <w:tcPr>
                  <w:tcW w:w="584" w:type="pct"/>
                  <w:tcBorders>
                    <w:tl2br w:val="nil"/>
                    <w:tr2bl w:val="nil"/>
                  </w:tcBorders>
                  <w:vAlign w:val="center"/>
                </w:tcPr>
                <w:p>
                  <w:pPr>
                    <w:jc w:val="center"/>
                    <w:rPr>
                      <w:color w:val="auto"/>
                      <w:szCs w:val="21"/>
                    </w:rPr>
                  </w:pPr>
                  <w:r>
                    <w:rPr>
                      <w:rFonts w:hint="eastAsia"/>
                      <w:color w:val="auto"/>
                      <w:szCs w:val="21"/>
                    </w:rPr>
                    <w:t>12.7</w:t>
                  </w:r>
                </w:p>
              </w:tc>
              <w:tc>
                <w:tcPr>
                  <w:tcW w:w="502" w:type="pct"/>
                  <w:tcBorders>
                    <w:tl2br w:val="nil"/>
                    <w:tr2bl w:val="nil"/>
                  </w:tcBorders>
                  <w:vAlign w:val="center"/>
                </w:tcPr>
                <w:p>
                  <w:pPr>
                    <w:jc w:val="center"/>
                    <w:rPr>
                      <w:color w:val="auto"/>
                      <w:szCs w:val="21"/>
                    </w:rPr>
                  </w:pPr>
                  <w:r>
                    <w:rPr>
                      <w:rFonts w:hint="eastAsia"/>
                      <w:color w:val="auto"/>
                      <w:szCs w:val="21"/>
                    </w:rPr>
                    <w:t>70.4</w:t>
                  </w:r>
                </w:p>
              </w:tc>
              <w:tc>
                <w:tcPr>
                  <w:tcW w:w="502" w:type="pct"/>
                  <w:tcBorders>
                    <w:tl2br w:val="nil"/>
                    <w:tr2bl w:val="nil"/>
                  </w:tcBorders>
                  <w:vAlign w:val="center"/>
                </w:tcPr>
                <w:p>
                  <w:pPr>
                    <w:jc w:val="center"/>
                    <w:rPr>
                      <w:color w:val="auto"/>
                      <w:szCs w:val="21"/>
                    </w:rPr>
                  </w:pPr>
                  <w:r>
                    <w:rPr>
                      <w:rFonts w:hint="eastAsia"/>
                      <w:color w:val="auto"/>
                      <w:szCs w:val="21"/>
                    </w:rPr>
                    <w:t>53.3</w:t>
                  </w:r>
                </w:p>
              </w:tc>
              <w:tc>
                <w:tcPr>
                  <w:tcW w:w="502" w:type="pct"/>
                  <w:tcBorders>
                    <w:tl2br w:val="nil"/>
                    <w:tr2bl w:val="nil"/>
                  </w:tcBorders>
                  <w:vAlign w:val="center"/>
                </w:tcPr>
                <w:p>
                  <w:pPr>
                    <w:jc w:val="center"/>
                    <w:rPr>
                      <w:color w:val="auto"/>
                      <w:szCs w:val="21"/>
                    </w:rPr>
                  </w:pPr>
                  <w:r>
                    <w:rPr>
                      <w:rFonts w:hint="eastAsia"/>
                      <w:color w:val="auto"/>
                      <w:szCs w:val="21"/>
                    </w:rPr>
                    <w:t>35.9</w:t>
                  </w:r>
                </w:p>
              </w:tc>
              <w:tc>
                <w:tcPr>
                  <w:tcW w:w="497" w:type="pct"/>
                  <w:tcBorders>
                    <w:tl2br w:val="nil"/>
                    <w:tr2bl w:val="nil"/>
                  </w:tcBorders>
                  <w:vAlign w:val="center"/>
                </w:tcPr>
                <w:p>
                  <w:pPr>
                    <w:jc w:val="center"/>
                    <w:rPr>
                      <w:color w:val="auto"/>
                      <w:szCs w:val="21"/>
                    </w:rPr>
                  </w:pPr>
                  <w:r>
                    <w:rPr>
                      <w:rFonts w:hint="eastAsia"/>
                      <w:color w:val="auto"/>
                      <w:szCs w:val="21"/>
                    </w:rPr>
                    <w:t>21.9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pct"/>
                  <w:tcBorders>
                    <w:tl2br w:val="nil"/>
                    <w:tr2bl w:val="nil"/>
                  </w:tcBorders>
                  <w:vAlign w:val="center"/>
                </w:tcPr>
                <w:p>
                  <w:pPr>
                    <w:jc w:val="center"/>
                    <w:rPr>
                      <w:color w:val="auto"/>
                      <w:szCs w:val="21"/>
                    </w:rPr>
                  </w:pPr>
                  <w:r>
                    <w:rPr>
                      <w:color w:val="auto"/>
                      <w:szCs w:val="21"/>
                    </w:rPr>
                    <w:t>3号</w:t>
                  </w:r>
                </w:p>
              </w:tc>
              <w:tc>
                <w:tcPr>
                  <w:tcW w:w="568" w:type="pct"/>
                  <w:tcBorders>
                    <w:tl2br w:val="nil"/>
                    <w:tr2bl w:val="nil"/>
                  </w:tcBorders>
                  <w:vAlign w:val="center"/>
                </w:tcPr>
                <w:p>
                  <w:pPr>
                    <w:jc w:val="center"/>
                    <w:rPr>
                      <w:color w:val="auto"/>
                      <w:szCs w:val="21"/>
                    </w:rPr>
                  </w:pPr>
                  <w:r>
                    <w:rPr>
                      <w:rFonts w:hint="eastAsia"/>
                      <w:color w:val="auto"/>
                      <w:szCs w:val="21"/>
                    </w:rPr>
                    <w:t>31.9</w:t>
                  </w:r>
                </w:p>
              </w:tc>
              <w:tc>
                <w:tcPr>
                  <w:tcW w:w="568" w:type="pct"/>
                  <w:tcBorders>
                    <w:tl2br w:val="nil"/>
                    <w:tr2bl w:val="nil"/>
                  </w:tcBorders>
                  <w:vAlign w:val="center"/>
                </w:tcPr>
                <w:p>
                  <w:pPr>
                    <w:jc w:val="center"/>
                    <w:rPr>
                      <w:color w:val="auto"/>
                      <w:szCs w:val="21"/>
                    </w:rPr>
                  </w:pPr>
                  <w:r>
                    <w:rPr>
                      <w:rFonts w:hint="eastAsia"/>
                      <w:color w:val="auto"/>
                      <w:szCs w:val="21"/>
                    </w:rPr>
                    <w:t>26.2</w:t>
                  </w:r>
                </w:p>
              </w:tc>
              <w:tc>
                <w:tcPr>
                  <w:tcW w:w="568" w:type="pct"/>
                  <w:tcBorders>
                    <w:tl2br w:val="nil"/>
                    <w:tr2bl w:val="nil"/>
                  </w:tcBorders>
                  <w:vAlign w:val="center"/>
                </w:tcPr>
                <w:p>
                  <w:pPr>
                    <w:jc w:val="center"/>
                    <w:rPr>
                      <w:color w:val="auto"/>
                      <w:szCs w:val="21"/>
                    </w:rPr>
                  </w:pPr>
                  <w:r>
                    <w:rPr>
                      <w:rFonts w:hint="eastAsia"/>
                      <w:color w:val="auto"/>
                      <w:szCs w:val="21"/>
                    </w:rPr>
                    <w:t>19.0</w:t>
                  </w:r>
                </w:p>
              </w:tc>
              <w:tc>
                <w:tcPr>
                  <w:tcW w:w="584" w:type="pct"/>
                  <w:tcBorders>
                    <w:tl2br w:val="nil"/>
                    <w:tr2bl w:val="nil"/>
                  </w:tcBorders>
                  <w:vAlign w:val="center"/>
                </w:tcPr>
                <w:p>
                  <w:pPr>
                    <w:jc w:val="center"/>
                    <w:rPr>
                      <w:color w:val="auto"/>
                      <w:szCs w:val="21"/>
                    </w:rPr>
                  </w:pPr>
                  <w:r>
                    <w:rPr>
                      <w:rFonts w:hint="eastAsia"/>
                      <w:color w:val="auto"/>
                      <w:szCs w:val="21"/>
                    </w:rPr>
                    <w:t>13.5</w:t>
                  </w:r>
                </w:p>
              </w:tc>
              <w:tc>
                <w:tcPr>
                  <w:tcW w:w="502" w:type="pct"/>
                  <w:tcBorders>
                    <w:tl2br w:val="nil"/>
                    <w:tr2bl w:val="nil"/>
                  </w:tcBorders>
                  <w:vAlign w:val="center"/>
                </w:tcPr>
                <w:p>
                  <w:pPr>
                    <w:jc w:val="center"/>
                    <w:rPr>
                      <w:color w:val="auto"/>
                      <w:szCs w:val="21"/>
                    </w:rPr>
                  </w:pPr>
                  <w:r>
                    <w:rPr>
                      <w:rFonts w:hint="eastAsia"/>
                      <w:color w:val="auto"/>
                      <w:szCs w:val="21"/>
                    </w:rPr>
                    <w:t>72.7</w:t>
                  </w:r>
                </w:p>
              </w:tc>
              <w:tc>
                <w:tcPr>
                  <w:tcW w:w="502" w:type="pct"/>
                  <w:tcBorders>
                    <w:tl2br w:val="nil"/>
                    <w:tr2bl w:val="nil"/>
                  </w:tcBorders>
                  <w:vAlign w:val="center"/>
                </w:tcPr>
                <w:p>
                  <w:pPr>
                    <w:jc w:val="center"/>
                    <w:rPr>
                      <w:color w:val="auto"/>
                      <w:szCs w:val="21"/>
                    </w:rPr>
                  </w:pPr>
                  <w:r>
                    <w:rPr>
                      <w:rFonts w:hint="eastAsia"/>
                      <w:color w:val="auto"/>
                      <w:szCs w:val="21"/>
                    </w:rPr>
                    <w:t>55.1</w:t>
                  </w:r>
                </w:p>
              </w:tc>
              <w:tc>
                <w:tcPr>
                  <w:tcW w:w="502" w:type="pct"/>
                  <w:tcBorders>
                    <w:tl2br w:val="nil"/>
                    <w:tr2bl w:val="nil"/>
                  </w:tcBorders>
                  <w:vAlign w:val="center"/>
                </w:tcPr>
                <w:p>
                  <w:pPr>
                    <w:jc w:val="center"/>
                    <w:rPr>
                      <w:color w:val="auto"/>
                      <w:szCs w:val="21"/>
                    </w:rPr>
                  </w:pPr>
                  <w:r>
                    <w:rPr>
                      <w:rFonts w:hint="eastAsia"/>
                      <w:color w:val="auto"/>
                      <w:szCs w:val="21"/>
                    </w:rPr>
                    <w:t>37.1</w:t>
                  </w:r>
                </w:p>
              </w:tc>
              <w:tc>
                <w:tcPr>
                  <w:tcW w:w="497" w:type="pct"/>
                  <w:tcBorders>
                    <w:tl2br w:val="nil"/>
                    <w:tr2bl w:val="nil"/>
                  </w:tcBorders>
                  <w:vAlign w:val="center"/>
                </w:tcPr>
                <w:p>
                  <w:pPr>
                    <w:jc w:val="center"/>
                    <w:rPr>
                      <w:color w:val="auto"/>
                      <w:szCs w:val="21"/>
                    </w:rPr>
                  </w:pPr>
                  <w:r>
                    <w:rPr>
                      <w:rFonts w:hint="eastAsia"/>
                      <w:color w:val="auto"/>
                      <w:szCs w:val="21"/>
                    </w:rPr>
                    <w:t>22.7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pct"/>
                  <w:tcBorders>
                    <w:tl2br w:val="nil"/>
                    <w:tr2bl w:val="nil"/>
                  </w:tcBorders>
                  <w:vAlign w:val="center"/>
                </w:tcPr>
                <w:p>
                  <w:pPr>
                    <w:jc w:val="center"/>
                    <w:rPr>
                      <w:color w:val="auto"/>
                      <w:szCs w:val="21"/>
                    </w:rPr>
                  </w:pPr>
                  <w:r>
                    <w:rPr>
                      <w:rFonts w:hint="eastAsia"/>
                      <w:color w:val="auto"/>
                      <w:szCs w:val="21"/>
                    </w:rPr>
                    <w:t>王洼二矿路涵管</w:t>
                  </w:r>
                </w:p>
              </w:tc>
              <w:tc>
                <w:tcPr>
                  <w:tcW w:w="568" w:type="pct"/>
                  <w:tcBorders>
                    <w:tl2br w:val="nil"/>
                    <w:tr2bl w:val="nil"/>
                  </w:tcBorders>
                  <w:vAlign w:val="center"/>
                </w:tcPr>
                <w:p>
                  <w:pPr>
                    <w:jc w:val="center"/>
                    <w:rPr>
                      <w:color w:val="auto"/>
                      <w:szCs w:val="21"/>
                    </w:rPr>
                  </w:pPr>
                  <w:r>
                    <w:rPr>
                      <w:rFonts w:hint="eastAsia"/>
                      <w:color w:val="auto"/>
                      <w:szCs w:val="21"/>
                    </w:rPr>
                    <w:t>2.82</w:t>
                  </w:r>
                </w:p>
              </w:tc>
              <w:tc>
                <w:tcPr>
                  <w:tcW w:w="568" w:type="pct"/>
                  <w:tcBorders>
                    <w:tl2br w:val="nil"/>
                    <w:tr2bl w:val="nil"/>
                  </w:tcBorders>
                  <w:vAlign w:val="center"/>
                </w:tcPr>
                <w:p>
                  <w:pPr>
                    <w:jc w:val="center"/>
                    <w:rPr>
                      <w:color w:val="auto"/>
                      <w:szCs w:val="21"/>
                    </w:rPr>
                  </w:pPr>
                  <w:r>
                    <w:rPr>
                      <w:rFonts w:hint="eastAsia"/>
                      <w:color w:val="auto"/>
                      <w:szCs w:val="21"/>
                    </w:rPr>
                    <w:t>2.32</w:t>
                  </w:r>
                </w:p>
              </w:tc>
              <w:tc>
                <w:tcPr>
                  <w:tcW w:w="568" w:type="pct"/>
                  <w:tcBorders>
                    <w:tl2br w:val="nil"/>
                    <w:tr2bl w:val="nil"/>
                  </w:tcBorders>
                  <w:vAlign w:val="center"/>
                </w:tcPr>
                <w:p>
                  <w:pPr>
                    <w:jc w:val="center"/>
                    <w:rPr>
                      <w:color w:val="auto"/>
                      <w:szCs w:val="21"/>
                    </w:rPr>
                  </w:pPr>
                  <w:r>
                    <w:rPr>
                      <w:rFonts w:hint="eastAsia"/>
                      <w:color w:val="auto"/>
                      <w:szCs w:val="21"/>
                    </w:rPr>
                    <w:t>1.72</w:t>
                  </w:r>
                </w:p>
              </w:tc>
              <w:tc>
                <w:tcPr>
                  <w:tcW w:w="584" w:type="pct"/>
                  <w:tcBorders>
                    <w:tl2br w:val="nil"/>
                    <w:tr2bl w:val="nil"/>
                  </w:tcBorders>
                  <w:vAlign w:val="center"/>
                </w:tcPr>
                <w:p>
                  <w:pPr>
                    <w:jc w:val="center"/>
                    <w:rPr>
                      <w:color w:val="auto"/>
                      <w:szCs w:val="21"/>
                    </w:rPr>
                  </w:pPr>
                  <w:r>
                    <w:rPr>
                      <w:rFonts w:hint="eastAsia"/>
                      <w:color w:val="auto"/>
                      <w:szCs w:val="21"/>
                    </w:rPr>
                    <w:t>1.22</w:t>
                  </w:r>
                </w:p>
              </w:tc>
              <w:tc>
                <w:tcPr>
                  <w:tcW w:w="502" w:type="pct"/>
                  <w:tcBorders>
                    <w:tl2br w:val="nil"/>
                    <w:tr2bl w:val="nil"/>
                  </w:tcBorders>
                  <w:vAlign w:val="center"/>
                </w:tcPr>
                <w:p>
                  <w:pPr>
                    <w:jc w:val="center"/>
                    <w:rPr>
                      <w:color w:val="auto"/>
                      <w:szCs w:val="21"/>
                    </w:rPr>
                  </w:pPr>
                  <w:r>
                    <w:rPr>
                      <w:rFonts w:hint="eastAsia"/>
                      <w:color w:val="auto"/>
                      <w:szCs w:val="21"/>
                    </w:rPr>
                    <w:t>7.26</w:t>
                  </w:r>
                </w:p>
              </w:tc>
              <w:tc>
                <w:tcPr>
                  <w:tcW w:w="502" w:type="pct"/>
                  <w:tcBorders>
                    <w:tl2br w:val="nil"/>
                    <w:tr2bl w:val="nil"/>
                  </w:tcBorders>
                  <w:vAlign w:val="center"/>
                </w:tcPr>
                <w:p>
                  <w:pPr>
                    <w:jc w:val="center"/>
                    <w:rPr>
                      <w:color w:val="auto"/>
                      <w:szCs w:val="21"/>
                    </w:rPr>
                  </w:pPr>
                  <w:r>
                    <w:rPr>
                      <w:rFonts w:hint="eastAsia"/>
                      <w:color w:val="auto"/>
                      <w:szCs w:val="21"/>
                    </w:rPr>
                    <w:t>4.97</w:t>
                  </w:r>
                </w:p>
              </w:tc>
              <w:tc>
                <w:tcPr>
                  <w:tcW w:w="502" w:type="pct"/>
                  <w:tcBorders>
                    <w:tl2br w:val="nil"/>
                    <w:tr2bl w:val="nil"/>
                  </w:tcBorders>
                  <w:vAlign w:val="center"/>
                </w:tcPr>
                <w:p>
                  <w:pPr>
                    <w:jc w:val="center"/>
                    <w:rPr>
                      <w:color w:val="auto"/>
                      <w:szCs w:val="21"/>
                    </w:rPr>
                  </w:pPr>
                  <w:r>
                    <w:rPr>
                      <w:rFonts w:hint="eastAsia"/>
                      <w:color w:val="auto"/>
                      <w:szCs w:val="21"/>
                    </w:rPr>
                    <w:t>3.71</w:t>
                  </w:r>
                </w:p>
              </w:tc>
              <w:tc>
                <w:tcPr>
                  <w:tcW w:w="497" w:type="pct"/>
                  <w:tcBorders>
                    <w:tl2br w:val="nil"/>
                    <w:tr2bl w:val="nil"/>
                  </w:tcBorders>
                  <w:vAlign w:val="center"/>
                </w:tcPr>
                <w:p>
                  <w:pPr>
                    <w:jc w:val="center"/>
                    <w:rPr>
                      <w:color w:val="auto"/>
                      <w:szCs w:val="21"/>
                    </w:rPr>
                  </w:pPr>
                  <w:r>
                    <w:rPr>
                      <w:rFonts w:hint="eastAsia"/>
                      <w:color w:val="auto"/>
                      <w:szCs w:val="21"/>
                    </w:rPr>
                    <w:t>2.27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pct"/>
                  <w:tcBorders>
                    <w:tl2br w:val="nil"/>
                    <w:tr2bl w:val="nil"/>
                  </w:tcBorders>
                  <w:vAlign w:val="center"/>
                </w:tcPr>
                <w:p>
                  <w:pPr>
                    <w:jc w:val="center"/>
                    <w:rPr>
                      <w:color w:val="auto"/>
                      <w:szCs w:val="21"/>
                    </w:rPr>
                  </w:pPr>
                  <w:r>
                    <w:rPr>
                      <w:rFonts w:hint="eastAsia"/>
                      <w:color w:val="auto"/>
                      <w:szCs w:val="21"/>
                    </w:rPr>
                    <w:t>王洼二矿井口</w:t>
                  </w:r>
                </w:p>
              </w:tc>
              <w:tc>
                <w:tcPr>
                  <w:tcW w:w="568" w:type="pct"/>
                  <w:tcBorders>
                    <w:tl2br w:val="nil"/>
                    <w:tr2bl w:val="nil"/>
                  </w:tcBorders>
                  <w:vAlign w:val="center"/>
                </w:tcPr>
                <w:p>
                  <w:pPr>
                    <w:jc w:val="center"/>
                    <w:rPr>
                      <w:color w:val="auto"/>
                      <w:szCs w:val="21"/>
                    </w:rPr>
                  </w:pPr>
                  <w:r>
                    <w:rPr>
                      <w:rFonts w:hint="eastAsia"/>
                      <w:color w:val="auto"/>
                      <w:szCs w:val="21"/>
                    </w:rPr>
                    <w:t>34.7</w:t>
                  </w:r>
                </w:p>
              </w:tc>
              <w:tc>
                <w:tcPr>
                  <w:tcW w:w="568" w:type="pct"/>
                  <w:tcBorders>
                    <w:tl2br w:val="nil"/>
                    <w:tr2bl w:val="nil"/>
                  </w:tcBorders>
                  <w:vAlign w:val="center"/>
                </w:tcPr>
                <w:p>
                  <w:pPr>
                    <w:jc w:val="center"/>
                    <w:rPr>
                      <w:color w:val="auto"/>
                      <w:szCs w:val="21"/>
                    </w:rPr>
                  </w:pPr>
                </w:p>
              </w:tc>
              <w:tc>
                <w:tcPr>
                  <w:tcW w:w="568" w:type="pct"/>
                  <w:tcBorders>
                    <w:tl2br w:val="nil"/>
                    <w:tr2bl w:val="nil"/>
                  </w:tcBorders>
                  <w:vAlign w:val="center"/>
                </w:tcPr>
                <w:p>
                  <w:pPr>
                    <w:jc w:val="center"/>
                    <w:rPr>
                      <w:color w:val="auto"/>
                      <w:szCs w:val="21"/>
                    </w:rPr>
                  </w:pPr>
                </w:p>
              </w:tc>
              <w:tc>
                <w:tcPr>
                  <w:tcW w:w="584" w:type="pct"/>
                  <w:tcBorders>
                    <w:tl2br w:val="nil"/>
                    <w:tr2bl w:val="nil"/>
                  </w:tcBorders>
                  <w:vAlign w:val="center"/>
                </w:tcPr>
                <w:p>
                  <w:pPr>
                    <w:jc w:val="center"/>
                    <w:rPr>
                      <w:color w:val="auto"/>
                      <w:szCs w:val="21"/>
                    </w:rPr>
                  </w:pPr>
                </w:p>
              </w:tc>
              <w:tc>
                <w:tcPr>
                  <w:tcW w:w="502" w:type="pct"/>
                  <w:tcBorders>
                    <w:tl2br w:val="nil"/>
                    <w:tr2bl w:val="nil"/>
                  </w:tcBorders>
                  <w:vAlign w:val="center"/>
                </w:tcPr>
                <w:p>
                  <w:pPr>
                    <w:jc w:val="center"/>
                    <w:rPr>
                      <w:color w:val="auto"/>
                      <w:szCs w:val="21"/>
                    </w:rPr>
                  </w:pPr>
                  <w:r>
                    <w:rPr>
                      <w:rFonts w:hint="eastAsia"/>
                      <w:color w:val="auto"/>
                      <w:szCs w:val="21"/>
                    </w:rPr>
                    <w:t>79.0</w:t>
                  </w:r>
                </w:p>
              </w:tc>
              <w:tc>
                <w:tcPr>
                  <w:tcW w:w="502" w:type="pct"/>
                  <w:tcBorders>
                    <w:tl2br w:val="nil"/>
                    <w:tr2bl w:val="nil"/>
                  </w:tcBorders>
                  <w:vAlign w:val="center"/>
                </w:tcPr>
                <w:p>
                  <w:pPr>
                    <w:jc w:val="center"/>
                    <w:rPr>
                      <w:color w:val="auto"/>
                      <w:szCs w:val="21"/>
                    </w:rPr>
                  </w:pPr>
                </w:p>
              </w:tc>
              <w:tc>
                <w:tcPr>
                  <w:tcW w:w="502" w:type="pct"/>
                  <w:tcBorders>
                    <w:tl2br w:val="nil"/>
                    <w:tr2bl w:val="nil"/>
                  </w:tcBorders>
                  <w:vAlign w:val="center"/>
                </w:tcPr>
                <w:p>
                  <w:pPr>
                    <w:jc w:val="center"/>
                    <w:rPr>
                      <w:color w:val="auto"/>
                      <w:szCs w:val="21"/>
                    </w:rPr>
                  </w:pPr>
                </w:p>
              </w:tc>
              <w:tc>
                <w:tcPr>
                  <w:tcW w:w="497" w:type="pct"/>
                  <w:tcBorders>
                    <w:tl2br w:val="nil"/>
                    <w:tr2bl w:val="nil"/>
                  </w:tcBorders>
                  <w:vAlign w:val="center"/>
                </w:tcPr>
                <w:p>
                  <w:pPr>
                    <w:jc w:val="center"/>
                    <w:rPr>
                      <w:color w:val="auto"/>
                      <w:szCs w:val="21"/>
                    </w:rPr>
                  </w:pPr>
                </w:p>
              </w:tc>
            </w:tr>
          </w:tbl>
          <w:p>
            <w:pPr>
              <w:pStyle w:val="5"/>
              <w:tabs>
                <w:tab w:val="left" w:pos="840"/>
              </w:tabs>
              <w:adjustRightInd w:val="0"/>
              <w:snapToGrid w:val="0"/>
              <w:ind w:firstLine="482" w:firstLineChars="200"/>
              <w:rPr>
                <w:bCs w:val="0"/>
                <w:color w:val="auto"/>
                <w:sz w:val="24"/>
                <w:szCs w:val="24"/>
                <w:lang w:bidi="ar"/>
              </w:rPr>
            </w:pPr>
            <w:bookmarkStart w:id="87" w:name="_Toc77924650"/>
            <w:bookmarkStart w:id="88" w:name="_Toc82758575"/>
            <w:bookmarkStart w:id="89" w:name="_Toc638"/>
            <w:r>
              <w:rPr>
                <w:bCs w:val="0"/>
                <w:color w:val="auto"/>
                <w:sz w:val="24"/>
                <w:szCs w:val="24"/>
                <w:lang w:bidi="ar"/>
              </w:rPr>
              <w:fldChar w:fldCharType="begin"/>
            </w:r>
            <w:r>
              <w:rPr>
                <w:bCs w:val="0"/>
                <w:color w:val="auto"/>
                <w:sz w:val="24"/>
                <w:szCs w:val="24"/>
                <w:lang w:bidi="ar"/>
              </w:rPr>
              <w:instrText xml:space="preserve"> = 5 \* GB2 \* MERGEFORMAT </w:instrText>
            </w:r>
            <w:r>
              <w:rPr>
                <w:bCs w:val="0"/>
                <w:color w:val="auto"/>
                <w:sz w:val="24"/>
                <w:szCs w:val="24"/>
                <w:lang w:bidi="ar"/>
              </w:rPr>
              <w:fldChar w:fldCharType="separate"/>
            </w:r>
            <w:r>
              <w:rPr>
                <w:bCs w:val="0"/>
                <w:color w:val="auto"/>
                <w:sz w:val="24"/>
                <w:szCs w:val="24"/>
                <w:lang w:bidi="ar"/>
              </w:rPr>
              <w:t>⑸</w:t>
            </w:r>
            <w:r>
              <w:rPr>
                <w:bCs w:val="0"/>
                <w:color w:val="auto"/>
                <w:sz w:val="24"/>
                <w:szCs w:val="24"/>
                <w:lang w:bidi="ar"/>
              </w:rPr>
              <w:fldChar w:fldCharType="end"/>
            </w:r>
            <w:r>
              <w:rPr>
                <w:bCs w:val="0"/>
                <w:color w:val="auto"/>
                <w:sz w:val="24"/>
                <w:szCs w:val="24"/>
                <w:lang w:bidi="ar"/>
              </w:rPr>
              <w:t>计算成果对比分析</w:t>
            </w:r>
            <w:bookmarkEnd w:id="87"/>
            <w:bookmarkEnd w:id="88"/>
            <w:bookmarkEnd w:id="89"/>
          </w:p>
          <w:p>
            <w:pPr>
              <w:pStyle w:val="41"/>
              <w:widowControl w:val="0"/>
              <w:ind w:firstLine="480"/>
              <w:rPr>
                <w:color w:val="auto"/>
              </w:rPr>
            </w:pPr>
            <w:r>
              <w:rPr>
                <w:color w:val="auto"/>
              </w:rPr>
              <w:t>通过对典型雨型和同频内包集两种方法计算结果可以看出，典型雨型计算的洪峰流量偏小2倍多，《尾矿设施设计规范》（GB50863-2013）要求采用24h暴雨历时计算，主要考虑</w:t>
            </w:r>
            <w:r>
              <w:rPr>
                <w:rFonts w:hint="eastAsia"/>
                <w:color w:val="auto"/>
              </w:rPr>
              <w:t>拦渣坝</w:t>
            </w:r>
            <w:r>
              <w:rPr>
                <w:color w:val="auto"/>
              </w:rPr>
              <w:t>拦蓄洪水，而本项目</w:t>
            </w:r>
            <w:r>
              <w:rPr>
                <w:rFonts w:hint="eastAsia"/>
                <w:color w:val="auto"/>
              </w:rPr>
              <w:t>拦渣坝</w:t>
            </w:r>
            <w:r>
              <w:rPr>
                <w:color w:val="auto"/>
              </w:rPr>
              <w:t>不拦蓄洪水，洪水采用</w:t>
            </w:r>
            <w:r>
              <w:rPr>
                <w:rFonts w:hint="eastAsia"/>
                <w:color w:val="auto"/>
              </w:rPr>
              <w:t>排</w:t>
            </w:r>
            <w:r>
              <w:rPr>
                <w:color w:val="auto"/>
              </w:rPr>
              <w:t>洪沟进行排洪，故本次采用同频内包计算值符合当地洪水特性，比较合理。</w:t>
            </w:r>
          </w:p>
          <w:p>
            <w:pPr>
              <w:pStyle w:val="41"/>
              <w:widowControl w:val="0"/>
              <w:ind w:firstLine="0" w:firstLineChars="0"/>
              <w:rPr>
                <w:b/>
                <w:bCs w:val="0"/>
                <w:color w:val="auto"/>
                <w:kern w:val="0"/>
                <w:szCs w:val="24"/>
                <w:lang w:bidi="ar"/>
              </w:rPr>
            </w:pPr>
            <w:r>
              <w:rPr>
                <w:rFonts w:hint="eastAsia"/>
                <w:b/>
                <w:color w:val="auto"/>
                <w:kern w:val="0"/>
              </w:rPr>
              <w:t>2.</w:t>
            </w:r>
            <w:r>
              <w:rPr>
                <w:b/>
                <w:bCs w:val="0"/>
                <w:color w:val="auto"/>
                <w:kern w:val="0"/>
              </w:rPr>
              <w:t>2.5</w:t>
            </w:r>
            <w:r>
              <w:rPr>
                <w:rFonts w:hint="eastAsia"/>
                <w:b/>
                <w:bCs w:val="0"/>
                <w:color w:val="auto"/>
                <w:kern w:val="0"/>
                <w:szCs w:val="24"/>
                <w:lang w:bidi="ar"/>
              </w:rPr>
              <w:t>.3范新庄水库现状下泄流量计算</w:t>
            </w:r>
          </w:p>
          <w:p>
            <w:pPr>
              <w:pStyle w:val="41"/>
              <w:widowControl w:val="0"/>
              <w:ind w:firstLine="480"/>
              <w:rPr>
                <w:color w:val="auto"/>
              </w:rPr>
            </w:pPr>
            <w:r>
              <w:rPr>
                <w:color w:val="auto"/>
              </w:rPr>
              <w:t>范新庄水库为假定基面，坝顶高程50m,最大坝高21m，坝长223m,范新庄原泄洪塔报废，在右坝肩新建单孔泄洪洞，洞底高程45.65m，泄洪洞为城门洞形，见图2-10，宽1.7m，高4.38m，长13.8m，实测淤泥面高程为42.06m，库容曲线见表2-13。</w:t>
            </w:r>
          </w:p>
          <w:p>
            <w:pPr>
              <w:pStyle w:val="41"/>
              <w:widowControl w:val="0"/>
              <w:ind w:firstLine="480"/>
              <w:rPr>
                <w:color w:val="auto"/>
              </w:rPr>
            </w:pPr>
          </w:p>
          <w:p>
            <w:pPr>
              <w:pStyle w:val="41"/>
              <w:widowControl w:val="0"/>
              <w:ind w:firstLine="480"/>
              <w:rPr>
                <w:color w:val="auto"/>
              </w:rPr>
            </w:pPr>
          </w:p>
          <w:p>
            <w:pPr>
              <w:pStyle w:val="41"/>
              <w:widowControl w:val="0"/>
              <w:ind w:firstLine="480"/>
              <w:rPr>
                <w:color w:val="auto"/>
              </w:rPr>
            </w:pPr>
          </w:p>
          <w:p>
            <w:pPr>
              <w:pStyle w:val="41"/>
              <w:widowControl w:val="0"/>
              <w:ind w:firstLine="480"/>
              <w:rPr>
                <w:color w:val="auto"/>
              </w:rPr>
            </w:pPr>
          </w:p>
          <w:p>
            <w:pPr>
              <w:pStyle w:val="41"/>
              <w:widowControl w:val="0"/>
              <w:ind w:firstLine="480"/>
              <w:rPr>
                <w:color w:val="auto"/>
              </w:rPr>
            </w:pPr>
          </w:p>
          <w:p>
            <w:pPr>
              <w:pStyle w:val="41"/>
              <w:widowControl w:val="0"/>
              <w:ind w:firstLine="480"/>
              <w:rPr>
                <w:color w:val="auto"/>
              </w:rPr>
            </w:pPr>
          </w:p>
          <w:p>
            <w:pPr>
              <w:pStyle w:val="41"/>
              <w:widowControl w:val="0"/>
              <w:ind w:firstLine="480"/>
              <w:rPr>
                <w:color w:val="auto"/>
              </w:rPr>
            </w:pPr>
          </w:p>
          <w:p>
            <w:pPr>
              <w:pStyle w:val="41"/>
              <w:widowControl w:val="0"/>
              <w:spacing w:line="240" w:lineRule="auto"/>
              <w:ind w:firstLine="482"/>
              <w:jc w:val="center"/>
              <w:rPr>
                <w:color w:val="auto"/>
              </w:rPr>
            </w:pPr>
            <w:r>
              <w:rPr>
                <w:b/>
                <w:color w:val="auto"/>
              </w:rPr>
              <w:drawing>
                <wp:inline distT="0" distB="0" distL="114300" distR="114300">
                  <wp:extent cx="4244975" cy="2810510"/>
                  <wp:effectExtent l="9525" t="9525" r="12700" b="18415"/>
                  <wp:docPr id="98" name="图片 90" descr="IMG_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0" descr="IMG_7932"/>
                          <pic:cNvPicPr>
                            <a:picLocks noChangeAspect="1"/>
                          </pic:cNvPicPr>
                        </pic:nvPicPr>
                        <pic:blipFill>
                          <a:blip r:embed="rId58"/>
                          <a:stretch>
                            <a:fillRect/>
                          </a:stretch>
                        </pic:blipFill>
                        <pic:spPr>
                          <a:xfrm>
                            <a:off x="0" y="0"/>
                            <a:ext cx="4244975" cy="2810510"/>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1920" w:firstLineChars="800"/>
              <w:rPr>
                <w:b/>
                <w:color w:val="auto"/>
                <w:sz w:val="24"/>
              </w:rPr>
            </w:pPr>
            <w:r>
              <w:rPr>
                <w:bCs/>
                <w:color w:val="auto"/>
                <w:sz w:val="24"/>
              </w:rPr>
              <w:t>图2-10</w:t>
            </w:r>
            <w:r>
              <w:rPr>
                <w:b/>
                <w:color w:val="auto"/>
                <w:sz w:val="24"/>
              </w:rPr>
              <w:t xml:space="preserve"> </w:t>
            </w:r>
            <w:r>
              <w:rPr>
                <w:rFonts w:hint="eastAsia"/>
                <w:b/>
                <w:color w:val="auto"/>
                <w:sz w:val="24"/>
              </w:rPr>
              <w:t xml:space="preserve">        </w:t>
            </w:r>
            <w:r>
              <w:rPr>
                <w:b/>
                <w:color w:val="auto"/>
                <w:sz w:val="24"/>
              </w:rPr>
              <w:t xml:space="preserve"> 范新庄水库泄洪洞</w:t>
            </w:r>
          </w:p>
          <w:p>
            <w:pPr>
              <w:ind w:firstLine="723" w:firstLineChars="300"/>
              <w:rPr>
                <w:b/>
                <w:color w:val="auto"/>
                <w:sz w:val="24"/>
              </w:rPr>
            </w:pPr>
            <w:r>
              <w:rPr>
                <w:b/>
                <w:color w:val="auto"/>
                <w:sz w:val="24"/>
              </w:rPr>
              <w:t xml:space="preserve">表2-13   </w:t>
            </w:r>
            <w:r>
              <w:rPr>
                <w:rFonts w:hint="eastAsia"/>
                <w:b/>
                <w:color w:val="auto"/>
                <w:sz w:val="24"/>
              </w:rPr>
              <w:t xml:space="preserve">       </w:t>
            </w:r>
            <w:r>
              <w:rPr>
                <w:b/>
                <w:color w:val="auto"/>
                <w:sz w:val="24"/>
              </w:rPr>
              <w:t>范新庄水库库容曲线</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3735"/>
              <w:gridCol w:w="3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vAlign w:val="center"/>
                </w:tcPr>
                <w:p>
                  <w:pPr>
                    <w:jc w:val="center"/>
                    <w:rPr>
                      <w:b/>
                      <w:bCs/>
                      <w:color w:val="auto"/>
                      <w:szCs w:val="21"/>
                    </w:rPr>
                  </w:pPr>
                  <w:r>
                    <w:rPr>
                      <w:b/>
                      <w:bCs/>
                      <w:color w:val="auto"/>
                      <w:szCs w:val="21"/>
                    </w:rPr>
                    <w:t>序号</w:t>
                  </w:r>
                </w:p>
              </w:tc>
              <w:tc>
                <w:tcPr>
                  <w:tcW w:w="2236" w:type="pct"/>
                  <w:tcBorders>
                    <w:tl2br w:val="nil"/>
                    <w:tr2bl w:val="nil"/>
                  </w:tcBorders>
                  <w:vAlign w:val="center"/>
                </w:tcPr>
                <w:p>
                  <w:pPr>
                    <w:jc w:val="center"/>
                    <w:rPr>
                      <w:b/>
                      <w:bCs/>
                      <w:color w:val="auto"/>
                      <w:szCs w:val="21"/>
                    </w:rPr>
                  </w:pPr>
                  <w:r>
                    <w:rPr>
                      <w:b/>
                      <w:bCs/>
                      <w:color w:val="auto"/>
                      <w:szCs w:val="21"/>
                    </w:rPr>
                    <w:t>水位（m）</w:t>
                  </w:r>
                </w:p>
              </w:tc>
              <w:tc>
                <w:tcPr>
                  <w:tcW w:w="2237" w:type="pct"/>
                  <w:tcBorders>
                    <w:tl2br w:val="nil"/>
                    <w:tr2bl w:val="nil"/>
                  </w:tcBorders>
                  <w:vAlign w:val="center"/>
                </w:tcPr>
                <w:p>
                  <w:pPr>
                    <w:jc w:val="center"/>
                    <w:rPr>
                      <w:b/>
                      <w:bCs/>
                      <w:color w:val="auto"/>
                      <w:szCs w:val="21"/>
                    </w:rPr>
                  </w:pPr>
                  <w:r>
                    <w:rPr>
                      <w:b/>
                      <w:bCs/>
                      <w:color w:val="auto"/>
                      <w:szCs w:val="21"/>
                    </w:rPr>
                    <w:t>库容（万m</w:t>
                  </w:r>
                  <w:r>
                    <w:rPr>
                      <w:b/>
                      <w:bCs/>
                      <w:color w:val="auto"/>
                      <w:szCs w:val="21"/>
                      <w:vertAlign w:val="superscript"/>
                    </w:rPr>
                    <w:t>3</w:t>
                  </w:r>
                  <w:r>
                    <w:rPr>
                      <w:b/>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vAlign w:val="center"/>
                </w:tcPr>
                <w:p>
                  <w:pPr>
                    <w:jc w:val="center"/>
                    <w:rPr>
                      <w:color w:val="auto"/>
                      <w:szCs w:val="21"/>
                    </w:rPr>
                  </w:pPr>
                  <w:r>
                    <w:rPr>
                      <w:color w:val="auto"/>
                      <w:szCs w:val="21"/>
                    </w:rPr>
                    <w:t>1</w:t>
                  </w:r>
                </w:p>
              </w:tc>
              <w:tc>
                <w:tcPr>
                  <w:tcW w:w="2236" w:type="pct"/>
                  <w:tcBorders>
                    <w:tl2br w:val="nil"/>
                    <w:tr2bl w:val="nil"/>
                  </w:tcBorders>
                  <w:vAlign w:val="center"/>
                </w:tcPr>
                <w:p>
                  <w:pPr>
                    <w:jc w:val="center"/>
                    <w:rPr>
                      <w:color w:val="auto"/>
                      <w:szCs w:val="21"/>
                    </w:rPr>
                  </w:pPr>
                  <w:r>
                    <w:rPr>
                      <w:color w:val="auto"/>
                      <w:szCs w:val="21"/>
                    </w:rPr>
                    <w:t>35.6</w:t>
                  </w:r>
                </w:p>
              </w:tc>
              <w:tc>
                <w:tcPr>
                  <w:tcW w:w="2237" w:type="pct"/>
                  <w:tcBorders>
                    <w:tl2br w:val="nil"/>
                    <w:tr2bl w:val="nil"/>
                  </w:tcBorders>
                  <w:vAlign w:val="center"/>
                </w:tcPr>
                <w:p>
                  <w:pPr>
                    <w:jc w:val="center"/>
                    <w:rPr>
                      <w:color w:val="auto"/>
                      <w:szCs w:val="21"/>
                    </w:rPr>
                  </w:pP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vAlign w:val="center"/>
                </w:tcPr>
                <w:p>
                  <w:pPr>
                    <w:jc w:val="center"/>
                    <w:rPr>
                      <w:color w:val="auto"/>
                      <w:szCs w:val="21"/>
                    </w:rPr>
                  </w:pPr>
                  <w:r>
                    <w:rPr>
                      <w:color w:val="auto"/>
                      <w:szCs w:val="21"/>
                    </w:rPr>
                    <w:t>2</w:t>
                  </w:r>
                </w:p>
              </w:tc>
              <w:tc>
                <w:tcPr>
                  <w:tcW w:w="2236" w:type="pct"/>
                  <w:tcBorders>
                    <w:tl2br w:val="nil"/>
                    <w:tr2bl w:val="nil"/>
                  </w:tcBorders>
                  <w:vAlign w:val="center"/>
                </w:tcPr>
                <w:p>
                  <w:pPr>
                    <w:jc w:val="center"/>
                    <w:rPr>
                      <w:color w:val="auto"/>
                      <w:szCs w:val="21"/>
                    </w:rPr>
                  </w:pPr>
                  <w:r>
                    <w:rPr>
                      <w:color w:val="auto"/>
                      <w:szCs w:val="21"/>
                    </w:rPr>
                    <w:t>36.0</w:t>
                  </w:r>
                </w:p>
              </w:tc>
              <w:tc>
                <w:tcPr>
                  <w:tcW w:w="2237" w:type="pct"/>
                  <w:tcBorders>
                    <w:tl2br w:val="nil"/>
                    <w:tr2bl w:val="nil"/>
                  </w:tcBorders>
                  <w:vAlign w:val="center"/>
                </w:tcPr>
                <w:p>
                  <w:pPr>
                    <w:jc w:val="center"/>
                    <w:rPr>
                      <w:color w:val="auto"/>
                      <w:szCs w:val="21"/>
                    </w:rPr>
                  </w:pPr>
                  <w:r>
                    <w:rPr>
                      <w:color w:val="auto"/>
                      <w:szCs w:val="21"/>
                    </w:rPr>
                    <w:t>0.0304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vAlign w:val="center"/>
                </w:tcPr>
                <w:p>
                  <w:pPr>
                    <w:jc w:val="center"/>
                    <w:rPr>
                      <w:color w:val="auto"/>
                      <w:szCs w:val="21"/>
                    </w:rPr>
                  </w:pPr>
                  <w:r>
                    <w:rPr>
                      <w:color w:val="auto"/>
                      <w:szCs w:val="21"/>
                    </w:rPr>
                    <w:t>3</w:t>
                  </w:r>
                </w:p>
              </w:tc>
              <w:tc>
                <w:tcPr>
                  <w:tcW w:w="2236" w:type="pct"/>
                  <w:tcBorders>
                    <w:tl2br w:val="nil"/>
                    <w:tr2bl w:val="nil"/>
                  </w:tcBorders>
                  <w:vAlign w:val="center"/>
                </w:tcPr>
                <w:p>
                  <w:pPr>
                    <w:jc w:val="center"/>
                    <w:rPr>
                      <w:color w:val="auto"/>
                      <w:szCs w:val="21"/>
                    </w:rPr>
                  </w:pPr>
                  <w:r>
                    <w:rPr>
                      <w:color w:val="auto"/>
                      <w:szCs w:val="21"/>
                    </w:rPr>
                    <w:t>38.0</w:t>
                  </w:r>
                </w:p>
              </w:tc>
              <w:tc>
                <w:tcPr>
                  <w:tcW w:w="2237" w:type="pct"/>
                  <w:tcBorders>
                    <w:tl2br w:val="nil"/>
                    <w:tr2bl w:val="nil"/>
                  </w:tcBorders>
                  <w:vAlign w:val="center"/>
                </w:tcPr>
                <w:p>
                  <w:pPr>
                    <w:jc w:val="center"/>
                    <w:rPr>
                      <w:color w:val="auto"/>
                      <w:szCs w:val="21"/>
                    </w:rPr>
                  </w:pPr>
                  <w:r>
                    <w:rPr>
                      <w:color w:val="auto"/>
                      <w:szCs w:val="21"/>
                    </w:rPr>
                    <w:t>2.8284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vAlign w:val="center"/>
                </w:tcPr>
                <w:p>
                  <w:pPr>
                    <w:jc w:val="center"/>
                    <w:rPr>
                      <w:color w:val="auto"/>
                      <w:szCs w:val="21"/>
                    </w:rPr>
                  </w:pPr>
                  <w:r>
                    <w:rPr>
                      <w:color w:val="auto"/>
                      <w:szCs w:val="21"/>
                    </w:rPr>
                    <w:t>4</w:t>
                  </w:r>
                </w:p>
              </w:tc>
              <w:tc>
                <w:tcPr>
                  <w:tcW w:w="2236" w:type="pct"/>
                  <w:tcBorders>
                    <w:tl2br w:val="nil"/>
                    <w:tr2bl w:val="nil"/>
                  </w:tcBorders>
                  <w:vAlign w:val="center"/>
                </w:tcPr>
                <w:p>
                  <w:pPr>
                    <w:jc w:val="center"/>
                    <w:rPr>
                      <w:color w:val="auto"/>
                      <w:szCs w:val="21"/>
                    </w:rPr>
                  </w:pPr>
                  <w:r>
                    <w:rPr>
                      <w:color w:val="auto"/>
                      <w:szCs w:val="21"/>
                    </w:rPr>
                    <w:t>40.0</w:t>
                  </w:r>
                </w:p>
              </w:tc>
              <w:tc>
                <w:tcPr>
                  <w:tcW w:w="2237" w:type="pct"/>
                  <w:tcBorders>
                    <w:tl2br w:val="nil"/>
                    <w:tr2bl w:val="nil"/>
                  </w:tcBorders>
                  <w:vAlign w:val="center"/>
                </w:tcPr>
                <w:p>
                  <w:pPr>
                    <w:jc w:val="center"/>
                    <w:rPr>
                      <w:color w:val="auto"/>
                      <w:szCs w:val="21"/>
                    </w:rPr>
                  </w:pPr>
                  <w:r>
                    <w:rPr>
                      <w:color w:val="auto"/>
                      <w:szCs w:val="21"/>
                    </w:rPr>
                    <w:t>9.9784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vAlign w:val="center"/>
                </w:tcPr>
                <w:p>
                  <w:pPr>
                    <w:jc w:val="center"/>
                    <w:rPr>
                      <w:color w:val="auto"/>
                      <w:szCs w:val="21"/>
                    </w:rPr>
                  </w:pPr>
                  <w:r>
                    <w:rPr>
                      <w:color w:val="auto"/>
                      <w:szCs w:val="21"/>
                    </w:rPr>
                    <w:t>5</w:t>
                  </w:r>
                </w:p>
              </w:tc>
              <w:tc>
                <w:tcPr>
                  <w:tcW w:w="2236" w:type="pct"/>
                  <w:tcBorders>
                    <w:tl2br w:val="nil"/>
                    <w:tr2bl w:val="nil"/>
                  </w:tcBorders>
                  <w:vAlign w:val="center"/>
                </w:tcPr>
                <w:p>
                  <w:pPr>
                    <w:jc w:val="center"/>
                    <w:rPr>
                      <w:color w:val="auto"/>
                      <w:szCs w:val="21"/>
                    </w:rPr>
                  </w:pPr>
                  <w:r>
                    <w:rPr>
                      <w:color w:val="auto"/>
                      <w:szCs w:val="21"/>
                    </w:rPr>
                    <w:t>42.0</w:t>
                  </w:r>
                </w:p>
              </w:tc>
              <w:tc>
                <w:tcPr>
                  <w:tcW w:w="2237" w:type="pct"/>
                  <w:tcBorders>
                    <w:tl2br w:val="nil"/>
                    <w:tr2bl w:val="nil"/>
                  </w:tcBorders>
                  <w:vAlign w:val="center"/>
                </w:tcPr>
                <w:p>
                  <w:pPr>
                    <w:jc w:val="center"/>
                    <w:rPr>
                      <w:color w:val="auto"/>
                      <w:szCs w:val="21"/>
                    </w:rPr>
                  </w:pPr>
                  <w:r>
                    <w:rPr>
                      <w:color w:val="auto"/>
                      <w:szCs w:val="21"/>
                    </w:rPr>
                    <w:t>20.4664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vAlign w:val="center"/>
                </w:tcPr>
                <w:p>
                  <w:pPr>
                    <w:jc w:val="center"/>
                    <w:rPr>
                      <w:color w:val="auto"/>
                      <w:szCs w:val="21"/>
                    </w:rPr>
                  </w:pPr>
                  <w:r>
                    <w:rPr>
                      <w:color w:val="auto"/>
                      <w:szCs w:val="21"/>
                    </w:rPr>
                    <w:t>6</w:t>
                  </w:r>
                </w:p>
              </w:tc>
              <w:tc>
                <w:tcPr>
                  <w:tcW w:w="2236" w:type="pct"/>
                  <w:tcBorders>
                    <w:tl2br w:val="nil"/>
                    <w:tr2bl w:val="nil"/>
                  </w:tcBorders>
                  <w:vAlign w:val="center"/>
                </w:tcPr>
                <w:p>
                  <w:pPr>
                    <w:jc w:val="center"/>
                    <w:rPr>
                      <w:color w:val="auto"/>
                      <w:szCs w:val="21"/>
                    </w:rPr>
                  </w:pPr>
                  <w:r>
                    <w:rPr>
                      <w:color w:val="auto"/>
                      <w:szCs w:val="21"/>
                    </w:rPr>
                    <w:t>44.0</w:t>
                  </w:r>
                </w:p>
              </w:tc>
              <w:tc>
                <w:tcPr>
                  <w:tcW w:w="2237" w:type="pct"/>
                  <w:tcBorders>
                    <w:tl2br w:val="nil"/>
                    <w:tr2bl w:val="nil"/>
                  </w:tcBorders>
                  <w:vAlign w:val="center"/>
                </w:tcPr>
                <w:p>
                  <w:pPr>
                    <w:jc w:val="center"/>
                    <w:rPr>
                      <w:color w:val="auto"/>
                      <w:szCs w:val="21"/>
                    </w:rPr>
                  </w:pPr>
                  <w:r>
                    <w:rPr>
                      <w:color w:val="auto"/>
                      <w:szCs w:val="21"/>
                    </w:rPr>
                    <w:t>34.0604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vAlign w:val="center"/>
                </w:tcPr>
                <w:p>
                  <w:pPr>
                    <w:jc w:val="center"/>
                    <w:rPr>
                      <w:color w:val="auto"/>
                      <w:szCs w:val="21"/>
                    </w:rPr>
                  </w:pPr>
                  <w:r>
                    <w:rPr>
                      <w:color w:val="auto"/>
                      <w:szCs w:val="21"/>
                    </w:rPr>
                    <w:t>7</w:t>
                  </w:r>
                </w:p>
              </w:tc>
              <w:tc>
                <w:tcPr>
                  <w:tcW w:w="2236" w:type="pct"/>
                  <w:tcBorders>
                    <w:tl2br w:val="nil"/>
                    <w:tr2bl w:val="nil"/>
                  </w:tcBorders>
                  <w:vAlign w:val="center"/>
                </w:tcPr>
                <w:p>
                  <w:pPr>
                    <w:jc w:val="center"/>
                    <w:rPr>
                      <w:color w:val="auto"/>
                      <w:szCs w:val="21"/>
                    </w:rPr>
                  </w:pPr>
                  <w:r>
                    <w:rPr>
                      <w:color w:val="auto"/>
                      <w:szCs w:val="21"/>
                    </w:rPr>
                    <w:t>46.0</w:t>
                  </w:r>
                </w:p>
              </w:tc>
              <w:tc>
                <w:tcPr>
                  <w:tcW w:w="2237" w:type="pct"/>
                  <w:tcBorders>
                    <w:tl2br w:val="nil"/>
                    <w:tr2bl w:val="nil"/>
                  </w:tcBorders>
                  <w:vAlign w:val="center"/>
                </w:tcPr>
                <w:p>
                  <w:pPr>
                    <w:jc w:val="center"/>
                    <w:rPr>
                      <w:color w:val="auto"/>
                      <w:szCs w:val="21"/>
                    </w:rPr>
                  </w:pPr>
                  <w:r>
                    <w:rPr>
                      <w:color w:val="auto"/>
                      <w:szCs w:val="21"/>
                    </w:rPr>
                    <w:t>51.5984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vAlign w:val="center"/>
                </w:tcPr>
                <w:p>
                  <w:pPr>
                    <w:jc w:val="center"/>
                    <w:rPr>
                      <w:color w:val="auto"/>
                      <w:szCs w:val="21"/>
                    </w:rPr>
                  </w:pPr>
                  <w:r>
                    <w:rPr>
                      <w:color w:val="auto"/>
                      <w:szCs w:val="21"/>
                    </w:rPr>
                    <w:t>8</w:t>
                  </w:r>
                </w:p>
              </w:tc>
              <w:tc>
                <w:tcPr>
                  <w:tcW w:w="2236" w:type="pct"/>
                  <w:tcBorders>
                    <w:tl2br w:val="nil"/>
                    <w:tr2bl w:val="nil"/>
                  </w:tcBorders>
                  <w:vAlign w:val="center"/>
                </w:tcPr>
                <w:p>
                  <w:pPr>
                    <w:jc w:val="center"/>
                    <w:rPr>
                      <w:color w:val="auto"/>
                      <w:szCs w:val="21"/>
                    </w:rPr>
                  </w:pPr>
                  <w:r>
                    <w:rPr>
                      <w:color w:val="auto"/>
                      <w:szCs w:val="21"/>
                    </w:rPr>
                    <w:t>48.0</w:t>
                  </w:r>
                </w:p>
              </w:tc>
              <w:tc>
                <w:tcPr>
                  <w:tcW w:w="2237" w:type="pct"/>
                  <w:tcBorders>
                    <w:tl2br w:val="nil"/>
                    <w:tr2bl w:val="nil"/>
                  </w:tcBorders>
                  <w:vAlign w:val="center"/>
                </w:tcPr>
                <w:p>
                  <w:pPr>
                    <w:jc w:val="center"/>
                    <w:rPr>
                      <w:color w:val="auto"/>
                      <w:szCs w:val="21"/>
                    </w:rPr>
                  </w:pPr>
                  <w:r>
                    <w:rPr>
                      <w:color w:val="auto"/>
                      <w:szCs w:val="21"/>
                    </w:rPr>
                    <w:t>71.9744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7" w:type="pct"/>
                  <w:tcBorders>
                    <w:tl2br w:val="nil"/>
                    <w:tr2bl w:val="nil"/>
                  </w:tcBorders>
                  <w:vAlign w:val="center"/>
                </w:tcPr>
                <w:p>
                  <w:pPr>
                    <w:jc w:val="center"/>
                    <w:rPr>
                      <w:color w:val="auto"/>
                      <w:szCs w:val="21"/>
                    </w:rPr>
                  </w:pPr>
                  <w:r>
                    <w:rPr>
                      <w:color w:val="auto"/>
                      <w:szCs w:val="21"/>
                    </w:rPr>
                    <w:t>9</w:t>
                  </w:r>
                </w:p>
              </w:tc>
              <w:tc>
                <w:tcPr>
                  <w:tcW w:w="2236" w:type="pct"/>
                  <w:tcBorders>
                    <w:tl2br w:val="nil"/>
                    <w:tr2bl w:val="nil"/>
                  </w:tcBorders>
                  <w:vAlign w:val="center"/>
                </w:tcPr>
                <w:p>
                  <w:pPr>
                    <w:jc w:val="center"/>
                    <w:rPr>
                      <w:color w:val="auto"/>
                      <w:szCs w:val="21"/>
                    </w:rPr>
                  </w:pPr>
                  <w:r>
                    <w:rPr>
                      <w:color w:val="auto"/>
                      <w:szCs w:val="21"/>
                    </w:rPr>
                    <w:t>50.0</w:t>
                  </w:r>
                </w:p>
              </w:tc>
              <w:tc>
                <w:tcPr>
                  <w:tcW w:w="2237" w:type="pct"/>
                  <w:tcBorders>
                    <w:tl2br w:val="nil"/>
                    <w:tr2bl w:val="nil"/>
                  </w:tcBorders>
                  <w:vAlign w:val="center"/>
                </w:tcPr>
                <w:p>
                  <w:pPr>
                    <w:jc w:val="center"/>
                    <w:rPr>
                      <w:color w:val="auto"/>
                      <w:szCs w:val="21"/>
                    </w:rPr>
                  </w:pPr>
                  <w:r>
                    <w:rPr>
                      <w:color w:val="auto"/>
                      <w:szCs w:val="21"/>
                    </w:rPr>
                    <w:t>94.9684</w:t>
                  </w:r>
                </w:p>
              </w:tc>
            </w:tr>
          </w:tbl>
          <w:p>
            <w:pPr>
              <w:spacing w:line="360" w:lineRule="auto"/>
              <w:ind w:firstLine="482" w:firstLineChars="200"/>
              <w:rPr>
                <w:b/>
                <w:bCs/>
                <w:color w:val="auto"/>
                <w:sz w:val="24"/>
              </w:rPr>
            </w:pPr>
          </w:p>
          <w:p>
            <w:pPr>
              <w:spacing w:line="360" w:lineRule="auto"/>
              <w:ind w:firstLine="482" w:firstLineChars="200"/>
              <w:rPr>
                <w:b/>
                <w:bCs/>
                <w:color w:val="auto"/>
                <w:sz w:val="24"/>
              </w:rPr>
            </w:pPr>
            <w:r>
              <w:rPr>
                <w:rFonts w:hint="eastAsia"/>
                <w:b/>
                <w:bCs/>
                <w:color w:val="auto"/>
                <w:sz w:val="24"/>
              </w:rPr>
              <w:t>①泄洪流量计算</w:t>
            </w:r>
          </w:p>
          <w:p>
            <w:pPr>
              <w:spacing w:line="360" w:lineRule="auto"/>
              <w:ind w:firstLine="480" w:firstLineChars="200"/>
              <w:rPr>
                <w:color w:val="auto"/>
                <w:sz w:val="24"/>
              </w:rPr>
            </w:pPr>
            <w:r>
              <w:rPr>
                <w:color w:val="auto"/>
                <w:sz w:val="24"/>
              </w:rPr>
              <w:t>泄洪流量按宽顶堰计算：</w:t>
            </w:r>
          </w:p>
          <w:p>
            <w:pPr>
              <w:spacing w:line="360" w:lineRule="auto"/>
              <w:jc w:val="center"/>
              <w:rPr>
                <w:color w:val="auto"/>
                <w:sz w:val="24"/>
              </w:rPr>
            </w:pPr>
            <w:r>
              <w:rPr>
                <w:color w:val="auto"/>
                <w:position w:val="-12"/>
                <w:sz w:val="24"/>
              </w:rPr>
              <w:object>
                <v:shape id="_x0000_i1042" o:spt="75" type="#_x0000_t75" style="height:23.1pt;width:149.4pt;" o:ole="t" filled="f" o:preferrelative="t" stroked="f" coordsize="21600,21600">
                  <v:path/>
                  <v:fill on="f" focussize="0,0"/>
                  <v:stroke on="f" joinstyle="miter"/>
                  <v:imagedata r:id="rId60" o:title=""/>
                  <o:lock v:ext="edit" aspectratio="t"/>
                  <w10:wrap type="none"/>
                  <w10:anchorlock/>
                </v:shape>
                <o:OLEObject Type="Embed" ProgID="Equation.KSEE3" ShapeID="_x0000_i1042" DrawAspect="Content" ObjectID="_1468075742" r:id="rId59">
                  <o:LockedField>false</o:LockedField>
                </o:OLEObject>
              </w:object>
            </w:r>
          </w:p>
          <w:p>
            <w:pPr>
              <w:spacing w:line="360" w:lineRule="auto"/>
              <w:ind w:firstLine="480" w:firstLineChars="200"/>
              <w:rPr>
                <w:color w:val="auto"/>
                <w:sz w:val="24"/>
              </w:rPr>
            </w:pPr>
            <w:r>
              <w:rPr>
                <w:color w:val="auto"/>
                <w:sz w:val="24"/>
              </w:rPr>
              <w:t>式中：m——流量系数，取m=0.385；</w:t>
            </w:r>
          </w:p>
          <w:p>
            <w:pPr>
              <w:spacing w:line="360" w:lineRule="auto"/>
              <w:rPr>
                <w:color w:val="auto"/>
                <w:sz w:val="24"/>
              </w:rPr>
            </w:pPr>
            <w:r>
              <w:rPr>
                <w:color w:val="auto"/>
                <w:sz w:val="24"/>
              </w:rPr>
              <w:t xml:space="preserve">     </w:t>
            </w:r>
            <w:r>
              <w:rPr>
                <w:rFonts w:hint="eastAsia"/>
                <w:color w:val="auto"/>
                <w:sz w:val="24"/>
              </w:rPr>
              <w:t xml:space="preserve">   </w:t>
            </w:r>
            <w:r>
              <w:rPr>
                <w:color w:val="auto"/>
                <w:sz w:val="24"/>
              </w:rPr>
              <w:t xml:space="preserve"> b——口宽，b=1.7m；</w:t>
            </w:r>
          </w:p>
          <w:p>
            <w:pPr>
              <w:spacing w:line="360" w:lineRule="auto"/>
              <w:rPr>
                <w:color w:val="auto"/>
                <w:sz w:val="24"/>
              </w:rPr>
            </w:pPr>
            <w:r>
              <w:rPr>
                <w:color w:val="auto"/>
                <w:sz w:val="24"/>
              </w:rPr>
              <w:t xml:space="preserve">      </w:t>
            </w:r>
            <w:r>
              <w:rPr>
                <w:rFonts w:hint="eastAsia"/>
                <w:color w:val="auto"/>
                <w:sz w:val="24"/>
              </w:rPr>
              <w:t xml:space="preserve">  </w:t>
            </w:r>
            <w:r>
              <w:rPr>
                <w:color w:val="auto"/>
                <w:position w:val="-12"/>
                <w:sz w:val="24"/>
              </w:rPr>
              <w:object>
                <v:shape id="_x0000_i1043" o:spt="75" type="#_x0000_t75" style="height:18.35pt;width:17pt;" o:ole="t" filled="f" o:preferrelative="t" stroked="f" coordsize="21600,21600">
                  <v:path/>
                  <v:fill on="f" focussize="0,0"/>
                  <v:stroke on="f" joinstyle="miter"/>
                  <v:imagedata r:id="rId62" o:title=""/>
                  <o:lock v:ext="edit" aspectratio="t"/>
                  <w10:wrap type="none"/>
                  <w10:anchorlock/>
                </v:shape>
                <o:OLEObject Type="Embed" ProgID="Equation.KSEE3" ShapeID="_x0000_i1043" DrawAspect="Content" ObjectID="_1468075743" r:id="rId61">
                  <o:LockedField>false</o:LockedField>
                </o:OLEObject>
              </w:object>
            </w:r>
            <w:r>
              <w:rPr>
                <w:color w:val="auto"/>
                <w:sz w:val="24"/>
              </w:rPr>
              <w:t>——堰顶水深（m）；</w:t>
            </w:r>
          </w:p>
          <w:p>
            <w:pPr>
              <w:spacing w:line="360" w:lineRule="auto"/>
              <w:rPr>
                <w:color w:val="auto"/>
              </w:rPr>
            </w:pPr>
            <w:r>
              <w:rPr>
                <w:color w:val="auto"/>
                <w:sz w:val="24"/>
              </w:rPr>
              <w:t>将各值带入上式求得：Q=2.9</w:t>
            </w:r>
            <w:r>
              <w:rPr>
                <w:color w:val="auto"/>
                <w:position w:val="-12"/>
                <w:sz w:val="24"/>
              </w:rPr>
              <w:object>
                <v:shape id="_x0000_i1044" o:spt="75" type="#_x0000_t75" style="height:19pt;width:23.1pt;" o:ole="t" filled="f" o:preferrelative="t" stroked="f" coordsize="21600,21600">
                  <v:path/>
                  <v:fill on="f" focussize="0,0"/>
                  <v:stroke on="f" joinstyle="miter"/>
                  <v:imagedata r:id="rId64" o:title=""/>
                  <o:lock v:ext="edit" aspectratio="t"/>
                  <w10:wrap type="none"/>
                  <w10:anchorlock/>
                </v:shape>
                <o:OLEObject Type="Embed" ProgID="Equation.KSEE3" ShapeID="_x0000_i1044" DrawAspect="Content" ObjectID="_1468075744" r:id="rId63">
                  <o:LockedField>false</o:LockedField>
                </o:OLEObject>
              </w:object>
            </w:r>
            <w:r>
              <w:rPr>
                <w:color w:val="auto"/>
                <w:sz w:val="24"/>
              </w:rPr>
              <w:t>，计算得范新庄水库泄流成果见表2-14</w:t>
            </w:r>
            <w:r>
              <w:rPr>
                <w:rFonts w:hint="eastAsia"/>
                <w:color w:val="auto"/>
              </w:rPr>
              <w:t>。</w:t>
            </w:r>
          </w:p>
          <w:p>
            <w:pPr>
              <w:pStyle w:val="2"/>
              <w:ind w:firstLine="210"/>
              <w:rPr>
                <w:color w:val="auto"/>
              </w:rPr>
            </w:pPr>
          </w:p>
          <w:p>
            <w:pPr>
              <w:rPr>
                <w:color w:val="auto"/>
              </w:rPr>
            </w:pPr>
          </w:p>
          <w:p>
            <w:pPr>
              <w:rPr>
                <w:color w:val="auto"/>
              </w:rPr>
            </w:pPr>
          </w:p>
          <w:p>
            <w:pPr>
              <w:pStyle w:val="2"/>
              <w:ind w:firstLine="210"/>
              <w:rPr>
                <w:color w:val="auto"/>
              </w:rPr>
            </w:pPr>
          </w:p>
          <w:p>
            <w:pPr>
              <w:ind w:firstLine="723" w:firstLineChars="300"/>
              <w:rPr>
                <w:b/>
                <w:color w:val="auto"/>
                <w:sz w:val="24"/>
              </w:rPr>
            </w:pPr>
            <w:r>
              <w:rPr>
                <w:b/>
                <w:color w:val="auto"/>
                <w:sz w:val="24"/>
              </w:rPr>
              <w:t>表2-14            范新庄水库泄流计算成果表</w:t>
            </w:r>
          </w:p>
          <w:tbl>
            <w:tblPr>
              <w:tblStyle w:val="19"/>
              <w:tblW w:w="5000"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51"/>
              <w:gridCol w:w="3723"/>
              <w:gridCol w:w="22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07" w:type="pct"/>
                  <w:tcBorders>
                    <w:tl2br w:val="nil"/>
                    <w:tr2bl w:val="nil"/>
                  </w:tcBorders>
                  <w:noWrap/>
                  <w:vAlign w:val="center"/>
                </w:tcPr>
                <w:p>
                  <w:pPr>
                    <w:adjustRightInd w:val="0"/>
                    <w:snapToGrid w:val="0"/>
                    <w:jc w:val="center"/>
                    <w:rPr>
                      <w:b/>
                      <w:bCs/>
                      <w:color w:val="auto"/>
                      <w:szCs w:val="21"/>
                    </w:rPr>
                  </w:pPr>
                  <w:r>
                    <w:rPr>
                      <w:b/>
                      <w:bCs/>
                      <w:color w:val="auto"/>
                      <w:szCs w:val="21"/>
                    </w:rPr>
                    <w:t>水位（m）</w:t>
                  </w:r>
                </w:p>
              </w:tc>
              <w:tc>
                <w:tcPr>
                  <w:tcW w:w="2228" w:type="pct"/>
                  <w:tcBorders>
                    <w:tl2br w:val="nil"/>
                    <w:tr2bl w:val="nil"/>
                  </w:tcBorders>
                  <w:noWrap/>
                  <w:vAlign w:val="center"/>
                </w:tcPr>
                <w:p>
                  <w:pPr>
                    <w:adjustRightInd w:val="0"/>
                    <w:snapToGrid w:val="0"/>
                    <w:jc w:val="center"/>
                    <w:rPr>
                      <w:b/>
                      <w:bCs/>
                      <w:color w:val="auto"/>
                      <w:szCs w:val="21"/>
                    </w:rPr>
                  </w:pPr>
                  <w:r>
                    <w:rPr>
                      <w:b/>
                      <w:bCs/>
                      <w:color w:val="auto"/>
                      <w:szCs w:val="21"/>
                    </w:rPr>
                    <w:t>泄流量（m</w:t>
                  </w:r>
                  <w:r>
                    <w:rPr>
                      <w:b/>
                      <w:bCs/>
                      <w:color w:val="auto"/>
                      <w:szCs w:val="21"/>
                      <w:vertAlign w:val="superscript"/>
                    </w:rPr>
                    <w:t>3</w:t>
                  </w:r>
                  <w:r>
                    <w:rPr>
                      <w:b/>
                      <w:bCs/>
                      <w:color w:val="auto"/>
                      <w:szCs w:val="21"/>
                    </w:rPr>
                    <w:t>/s）</w:t>
                  </w:r>
                </w:p>
              </w:tc>
              <w:tc>
                <w:tcPr>
                  <w:tcW w:w="1364" w:type="pct"/>
                  <w:tcBorders>
                    <w:tl2br w:val="nil"/>
                    <w:tr2bl w:val="nil"/>
                  </w:tcBorders>
                  <w:noWrap/>
                  <w:vAlign w:val="center"/>
                </w:tcPr>
                <w:p>
                  <w:pPr>
                    <w:adjustRightInd w:val="0"/>
                    <w:snapToGrid w:val="0"/>
                    <w:jc w:val="center"/>
                    <w:rPr>
                      <w:b/>
                      <w:bCs/>
                      <w:color w:val="auto"/>
                      <w:szCs w:val="21"/>
                    </w:rPr>
                  </w:pPr>
                  <w:r>
                    <w:rPr>
                      <w:b/>
                      <w:bCs/>
                      <w:color w:val="auto"/>
                      <w:szCs w:val="21"/>
                    </w:rPr>
                    <w:t>库容（万m³）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07" w:type="pct"/>
                  <w:tcBorders>
                    <w:tl2br w:val="nil"/>
                    <w:tr2bl w:val="nil"/>
                  </w:tcBorders>
                  <w:vAlign w:val="center"/>
                </w:tcPr>
                <w:p>
                  <w:pPr>
                    <w:adjustRightInd w:val="0"/>
                    <w:snapToGrid w:val="0"/>
                    <w:jc w:val="center"/>
                    <w:rPr>
                      <w:color w:val="auto"/>
                      <w:szCs w:val="21"/>
                    </w:rPr>
                  </w:pPr>
                  <w:r>
                    <w:rPr>
                      <w:color w:val="auto"/>
                      <w:szCs w:val="21"/>
                    </w:rPr>
                    <w:t>35.6</w:t>
                  </w:r>
                </w:p>
              </w:tc>
              <w:tc>
                <w:tcPr>
                  <w:tcW w:w="2228" w:type="pct"/>
                  <w:tcBorders>
                    <w:tl2br w:val="nil"/>
                    <w:tr2bl w:val="nil"/>
                  </w:tcBorders>
                  <w:noWrap/>
                  <w:vAlign w:val="center"/>
                </w:tcPr>
                <w:p>
                  <w:pPr>
                    <w:adjustRightInd w:val="0"/>
                    <w:snapToGrid w:val="0"/>
                    <w:jc w:val="center"/>
                    <w:rPr>
                      <w:color w:val="auto"/>
                      <w:szCs w:val="21"/>
                    </w:rPr>
                  </w:pPr>
                  <w:r>
                    <w:rPr>
                      <w:color w:val="auto"/>
                      <w:szCs w:val="21"/>
                    </w:rPr>
                    <w:t>0.00</w:t>
                  </w:r>
                </w:p>
              </w:tc>
              <w:tc>
                <w:tcPr>
                  <w:tcW w:w="1364" w:type="pct"/>
                  <w:tcBorders>
                    <w:tl2br w:val="nil"/>
                    <w:tr2bl w:val="nil"/>
                  </w:tcBorders>
                  <w:vAlign w:val="center"/>
                </w:tcPr>
                <w:p>
                  <w:pPr>
                    <w:adjustRightInd w:val="0"/>
                    <w:snapToGrid w:val="0"/>
                    <w:jc w:val="center"/>
                    <w:rPr>
                      <w:color w:val="auto"/>
                      <w:szCs w:val="21"/>
                    </w:rPr>
                  </w:pP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07" w:type="pct"/>
                  <w:tcBorders>
                    <w:tl2br w:val="nil"/>
                    <w:tr2bl w:val="nil"/>
                  </w:tcBorders>
                  <w:vAlign w:val="center"/>
                </w:tcPr>
                <w:p>
                  <w:pPr>
                    <w:adjustRightInd w:val="0"/>
                    <w:snapToGrid w:val="0"/>
                    <w:jc w:val="center"/>
                    <w:rPr>
                      <w:color w:val="auto"/>
                      <w:szCs w:val="21"/>
                    </w:rPr>
                  </w:pPr>
                  <w:r>
                    <w:rPr>
                      <w:color w:val="auto"/>
                      <w:szCs w:val="21"/>
                    </w:rPr>
                    <w:t>36</w:t>
                  </w:r>
                </w:p>
              </w:tc>
              <w:tc>
                <w:tcPr>
                  <w:tcW w:w="2228" w:type="pct"/>
                  <w:tcBorders>
                    <w:tl2br w:val="nil"/>
                    <w:tr2bl w:val="nil"/>
                  </w:tcBorders>
                  <w:noWrap/>
                  <w:vAlign w:val="center"/>
                </w:tcPr>
                <w:p>
                  <w:pPr>
                    <w:adjustRightInd w:val="0"/>
                    <w:snapToGrid w:val="0"/>
                    <w:jc w:val="center"/>
                    <w:rPr>
                      <w:color w:val="auto"/>
                      <w:szCs w:val="21"/>
                    </w:rPr>
                  </w:pPr>
                  <w:r>
                    <w:rPr>
                      <w:color w:val="auto"/>
                      <w:szCs w:val="21"/>
                    </w:rPr>
                    <w:t>0.00</w:t>
                  </w:r>
                </w:p>
              </w:tc>
              <w:tc>
                <w:tcPr>
                  <w:tcW w:w="1364" w:type="pct"/>
                  <w:tcBorders>
                    <w:tl2br w:val="nil"/>
                    <w:tr2bl w:val="nil"/>
                  </w:tcBorders>
                  <w:vAlign w:val="center"/>
                </w:tcPr>
                <w:p>
                  <w:pPr>
                    <w:adjustRightInd w:val="0"/>
                    <w:snapToGrid w:val="0"/>
                    <w:jc w:val="center"/>
                    <w:rPr>
                      <w:color w:val="auto"/>
                      <w:szCs w:val="21"/>
                    </w:rPr>
                  </w:pPr>
                  <w:r>
                    <w:rPr>
                      <w:color w:val="auto"/>
                      <w:szCs w:val="21"/>
                    </w:rPr>
                    <w:t>0.0304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07" w:type="pct"/>
                  <w:tcBorders>
                    <w:tl2br w:val="nil"/>
                    <w:tr2bl w:val="nil"/>
                  </w:tcBorders>
                  <w:vAlign w:val="center"/>
                </w:tcPr>
                <w:p>
                  <w:pPr>
                    <w:adjustRightInd w:val="0"/>
                    <w:snapToGrid w:val="0"/>
                    <w:jc w:val="center"/>
                    <w:rPr>
                      <w:color w:val="auto"/>
                      <w:szCs w:val="21"/>
                    </w:rPr>
                  </w:pPr>
                  <w:r>
                    <w:rPr>
                      <w:color w:val="auto"/>
                      <w:szCs w:val="21"/>
                    </w:rPr>
                    <w:t>38</w:t>
                  </w:r>
                </w:p>
              </w:tc>
              <w:tc>
                <w:tcPr>
                  <w:tcW w:w="2228" w:type="pct"/>
                  <w:tcBorders>
                    <w:tl2br w:val="nil"/>
                    <w:tr2bl w:val="nil"/>
                  </w:tcBorders>
                  <w:noWrap/>
                  <w:vAlign w:val="center"/>
                </w:tcPr>
                <w:p>
                  <w:pPr>
                    <w:adjustRightInd w:val="0"/>
                    <w:snapToGrid w:val="0"/>
                    <w:jc w:val="center"/>
                    <w:rPr>
                      <w:color w:val="auto"/>
                      <w:szCs w:val="21"/>
                    </w:rPr>
                  </w:pPr>
                  <w:r>
                    <w:rPr>
                      <w:color w:val="auto"/>
                      <w:szCs w:val="21"/>
                    </w:rPr>
                    <w:t>0.00</w:t>
                  </w:r>
                </w:p>
              </w:tc>
              <w:tc>
                <w:tcPr>
                  <w:tcW w:w="1364" w:type="pct"/>
                  <w:tcBorders>
                    <w:tl2br w:val="nil"/>
                    <w:tr2bl w:val="nil"/>
                  </w:tcBorders>
                  <w:vAlign w:val="center"/>
                </w:tcPr>
                <w:p>
                  <w:pPr>
                    <w:adjustRightInd w:val="0"/>
                    <w:snapToGrid w:val="0"/>
                    <w:jc w:val="center"/>
                    <w:rPr>
                      <w:color w:val="auto"/>
                      <w:szCs w:val="21"/>
                    </w:rPr>
                  </w:pPr>
                  <w:r>
                    <w:rPr>
                      <w:color w:val="auto"/>
                      <w:szCs w:val="21"/>
                    </w:rPr>
                    <w:t>2.8284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07" w:type="pct"/>
                  <w:tcBorders>
                    <w:tl2br w:val="nil"/>
                    <w:tr2bl w:val="nil"/>
                  </w:tcBorders>
                  <w:vAlign w:val="center"/>
                </w:tcPr>
                <w:p>
                  <w:pPr>
                    <w:adjustRightInd w:val="0"/>
                    <w:snapToGrid w:val="0"/>
                    <w:jc w:val="center"/>
                    <w:rPr>
                      <w:color w:val="auto"/>
                      <w:szCs w:val="21"/>
                    </w:rPr>
                  </w:pPr>
                  <w:r>
                    <w:rPr>
                      <w:color w:val="auto"/>
                      <w:szCs w:val="21"/>
                    </w:rPr>
                    <w:t>40</w:t>
                  </w:r>
                </w:p>
              </w:tc>
              <w:tc>
                <w:tcPr>
                  <w:tcW w:w="2228" w:type="pct"/>
                  <w:tcBorders>
                    <w:tl2br w:val="nil"/>
                    <w:tr2bl w:val="nil"/>
                  </w:tcBorders>
                  <w:noWrap/>
                  <w:vAlign w:val="center"/>
                </w:tcPr>
                <w:p>
                  <w:pPr>
                    <w:adjustRightInd w:val="0"/>
                    <w:snapToGrid w:val="0"/>
                    <w:jc w:val="center"/>
                    <w:rPr>
                      <w:color w:val="auto"/>
                      <w:szCs w:val="21"/>
                    </w:rPr>
                  </w:pPr>
                  <w:r>
                    <w:rPr>
                      <w:color w:val="auto"/>
                      <w:szCs w:val="21"/>
                    </w:rPr>
                    <w:t>0.00</w:t>
                  </w:r>
                </w:p>
              </w:tc>
              <w:tc>
                <w:tcPr>
                  <w:tcW w:w="1364" w:type="pct"/>
                  <w:tcBorders>
                    <w:tl2br w:val="nil"/>
                    <w:tr2bl w:val="nil"/>
                  </w:tcBorders>
                  <w:vAlign w:val="center"/>
                </w:tcPr>
                <w:p>
                  <w:pPr>
                    <w:adjustRightInd w:val="0"/>
                    <w:snapToGrid w:val="0"/>
                    <w:jc w:val="center"/>
                    <w:rPr>
                      <w:color w:val="auto"/>
                      <w:szCs w:val="21"/>
                    </w:rPr>
                  </w:pPr>
                  <w:r>
                    <w:rPr>
                      <w:color w:val="auto"/>
                      <w:szCs w:val="21"/>
                    </w:rPr>
                    <w:t>9.9784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07" w:type="pct"/>
                  <w:tcBorders>
                    <w:tl2br w:val="nil"/>
                    <w:tr2bl w:val="nil"/>
                  </w:tcBorders>
                  <w:vAlign w:val="center"/>
                </w:tcPr>
                <w:p>
                  <w:pPr>
                    <w:adjustRightInd w:val="0"/>
                    <w:snapToGrid w:val="0"/>
                    <w:jc w:val="center"/>
                    <w:rPr>
                      <w:color w:val="auto"/>
                      <w:szCs w:val="21"/>
                    </w:rPr>
                  </w:pPr>
                  <w:r>
                    <w:rPr>
                      <w:color w:val="auto"/>
                      <w:szCs w:val="21"/>
                    </w:rPr>
                    <w:t>42</w:t>
                  </w:r>
                </w:p>
              </w:tc>
              <w:tc>
                <w:tcPr>
                  <w:tcW w:w="2228" w:type="pct"/>
                  <w:tcBorders>
                    <w:tl2br w:val="nil"/>
                    <w:tr2bl w:val="nil"/>
                  </w:tcBorders>
                  <w:noWrap/>
                  <w:vAlign w:val="center"/>
                </w:tcPr>
                <w:p>
                  <w:pPr>
                    <w:adjustRightInd w:val="0"/>
                    <w:snapToGrid w:val="0"/>
                    <w:jc w:val="center"/>
                    <w:rPr>
                      <w:color w:val="auto"/>
                      <w:szCs w:val="21"/>
                    </w:rPr>
                  </w:pPr>
                  <w:r>
                    <w:rPr>
                      <w:color w:val="auto"/>
                      <w:szCs w:val="21"/>
                    </w:rPr>
                    <w:t>0.00</w:t>
                  </w:r>
                </w:p>
              </w:tc>
              <w:tc>
                <w:tcPr>
                  <w:tcW w:w="1364" w:type="pct"/>
                  <w:tcBorders>
                    <w:tl2br w:val="nil"/>
                    <w:tr2bl w:val="nil"/>
                  </w:tcBorders>
                  <w:vAlign w:val="center"/>
                </w:tcPr>
                <w:p>
                  <w:pPr>
                    <w:adjustRightInd w:val="0"/>
                    <w:snapToGrid w:val="0"/>
                    <w:jc w:val="center"/>
                    <w:rPr>
                      <w:color w:val="auto"/>
                      <w:szCs w:val="21"/>
                    </w:rPr>
                  </w:pPr>
                  <w:r>
                    <w:rPr>
                      <w:color w:val="auto"/>
                      <w:szCs w:val="21"/>
                    </w:rPr>
                    <w:t>20.4664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07" w:type="pct"/>
                  <w:tcBorders>
                    <w:tl2br w:val="nil"/>
                    <w:tr2bl w:val="nil"/>
                  </w:tcBorders>
                  <w:vAlign w:val="center"/>
                </w:tcPr>
                <w:p>
                  <w:pPr>
                    <w:adjustRightInd w:val="0"/>
                    <w:snapToGrid w:val="0"/>
                    <w:jc w:val="center"/>
                    <w:rPr>
                      <w:color w:val="auto"/>
                      <w:szCs w:val="21"/>
                    </w:rPr>
                  </w:pPr>
                  <w:r>
                    <w:rPr>
                      <w:color w:val="auto"/>
                      <w:szCs w:val="21"/>
                    </w:rPr>
                    <w:t>44</w:t>
                  </w:r>
                </w:p>
              </w:tc>
              <w:tc>
                <w:tcPr>
                  <w:tcW w:w="2228" w:type="pct"/>
                  <w:tcBorders>
                    <w:tl2br w:val="nil"/>
                    <w:tr2bl w:val="nil"/>
                  </w:tcBorders>
                  <w:noWrap/>
                  <w:vAlign w:val="center"/>
                </w:tcPr>
                <w:p>
                  <w:pPr>
                    <w:adjustRightInd w:val="0"/>
                    <w:snapToGrid w:val="0"/>
                    <w:jc w:val="center"/>
                    <w:rPr>
                      <w:color w:val="auto"/>
                      <w:szCs w:val="21"/>
                    </w:rPr>
                  </w:pPr>
                  <w:r>
                    <w:rPr>
                      <w:color w:val="auto"/>
                      <w:szCs w:val="21"/>
                    </w:rPr>
                    <w:t>0.00</w:t>
                  </w:r>
                </w:p>
              </w:tc>
              <w:tc>
                <w:tcPr>
                  <w:tcW w:w="1364" w:type="pct"/>
                  <w:tcBorders>
                    <w:tl2br w:val="nil"/>
                    <w:tr2bl w:val="nil"/>
                  </w:tcBorders>
                  <w:vAlign w:val="center"/>
                </w:tcPr>
                <w:p>
                  <w:pPr>
                    <w:adjustRightInd w:val="0"/>
                    <w:snapToGrid w:val="0"/>
                    <w:jc w:val="center"/>
                    <w:rPr>
                      <w:color w:val="auto"/>
                      <w:szCs w:val="21"/>
                    </w:rPr>
                  </w:pPr>
                  <w:r>
                    <w:rPr>
                      <w:color w:val="auto"/>
                      <w:szCs w:val="21"/>
                    </w:rPr>
                    <w:t>34.0604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07" w:type="pct"/>
                  <w:tcBorders>
                    <w:tl2br w:val="nil"/>
                    <w:tr2bl w:val="nil"/>
                  </w:tcBorders>
                  <w:noWrap/>
                  <w:vAlign w:val="center"/>
                </w:tcPr>
                <w:p>
                  <w:pPr>
                    <w:adjustRightInd w:val="0"/>
                    <w:snapToGrid w:val="0"/>
                    <w:jc w:val="center"/>
                    <w:rPr>
                      <w:color w:val="auto"/>
                      <w:szCs w:val="21"/>
                    </w:rPr>
                  </w:pPr>
                  <w:r>
                    <w:rPr>
                      <w:color w:val="auto"/>
                      <w:szCs w:val="21"/>
                    </w:rPr>
                    <w:t>46</w:t>
                  </w:r>
                </w:p>
              </w:tc>
              <w:tc>
                <w:tcPr>
                  <w:tcW w:w="2228" w:type="pct"/>
                  <w:tcBorders>
                    <w:tl2br w:val="nil"/>
                    <w:tr2bl w:val="nil"/>
                  </w:tcBorders>
                  <w:noWrap/>
                  <w:vAlign w:val="center"/>
                </w:tcPr>
                <w:p>
                  <w:pPr>
                    <w:adjustRightInd w:val="0"/>
                    <w:snapToGrid w:val="0"/>
                    <w:jc w:val="center"/>
                    <w:rPr>
                      <w:color w:val="auto"/>
                      <w:szCs w:val="21"/>
                    </w:rPr>
                  </w:pPr>
                  <w:r>
                    <w:rPr>
                      <w:color w:val="auto"/>
                      <w:szCs w:val="21"/>
                    </w:rPr>
                    <w:t>0.60</w:t>
                  </w:r>
                </w:p>
              </w:tc>
              <w:tc>
                <w:tcPr>
                  <w:tcW w:w="1364" w:type="pct"/>
                  <w:tcBorders>
                    <w:tl2br w:val="nil"/>
                    <w:tr2bl w:val="nil"/>
                  </w:tcBorders>
                  <w:vAlign w:val="center"/>
                </w:tcPr>
                <w:p>
                  <w:pPr>
                    <w:adjustRightInd w:val="0"/>
                    <w:snapToGrid w:val="0"/>
                    <w:jc w:val="center"/>
                    <w:rPr>
                      <w:color w:val="auto"/>
                      <w:szCs w:val="21"/>
                    </w:rPr>
                  </w:pPr>
                  <w:r>
                    <w:rPr>
                      <w:color w:val="auto"/>
                      <w:szCs w:val="21"/>
                    </w:rPr>
                    <w:t>51.5984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07" w:type="pct"/>
                  <w:tcBorders>
                    <w:tl2br w:val="nil"/>
                    <w:tr2bl w:val="nil"/>
                  </w:tcBorders>
                  <w:noWrap/>
                  <w:vAlign w:val="center"/>
                </w:tcPr>
                <w:p>
                  <w:pPr>
                    <w:adjustRightInd w:val="0"/>
                    <w:snapToGrid w:val="0"/>
                    <w:jc w:val="center"/>
                    <w:rPr>
                      <w:color w:val="auto"/>
                      <w:szCs w:val="21"/>
                    </w:rPr>
                  </w:pPr>
                  <w:r>
                    <w:rPr>
                      <w:color w:val="auto"/>
                      <w:szCs w:val="21"/>
                    </w:rPr>
                    <w:t>48</w:t>
                  </w:r>
                </w:p>
              </w:tc>
              <w:tc>
                <w:tcPr>
                  <w:tcW w:w="2228" w:type="pct"/>
                  <w:tcBorders>
                    <w:tl2br w:val="nil"/>
                    <w:tr2bl w:val="nil"/>
                  </w:tcBorders>
                  <w:noWrap/>
                  <w:vAlign w:val="center"/>
                </w:tcPr>
                <w:p>
                  <w:pPr>
                    <w:adjustRightInd w:val="0"/>
                    <w:snapToGrid w:val="0"/>
                    <w:jc w:val="center"/>
                    <w:rPr>
                      <w:color w:val="auto"/>
                      <w:szCs w:val="21"/>
                    </w:rPr>
                  </w:pPr>
                  <w:r>
                    <w:rPr>
                      <w:color w:val="auto"/>
                      <w:szCs w:val="21"/>
                    </w:rPr>
                    <w:t>10.44</w:t>
                  </w:r>
                </w:p>
              </w:tc>
              <w:tc>
                <w:tcPr>
                  <w:tcW w:w="1364" w:type="pct"/>
                  <w:tcBorders>
                    <w:tl2br w:val="nil"/>
                    <w:tr2bl w:val="nil"/>
                  </w:tcBorders>
                  <w:vAlign w:val="center"/>
                </w:tcPr>
                <w:p>
                  <w:pPr>
                    <w:adjustRightInd w:val="0"/>
                    <w:snapToGrid w:val="0"/>
                    <w:jc w:val="center"/>
                    <w:rPr>
                      <w:color w:val="auto"/>
                      <w:szCs w:val="21"/>
                    </w:rPr>
                  </w:pPr>
                  <w:r>
                    <w:rPr>
                      <w:color w:val="auto"/>
                      <w:szCs w:val="21"/>
                    </w:rPr>
                    <w:t>71.9744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407" w:type="pct"/>
                  <w:tcBorders>
                    <w:tl2br w:val="nil"/>
                    <w:tr2bl w:val="nil"/>
                  </w:tcBorders>
                  <w:noWrap/>
                  <w:vAlign w:val="center"/>
                </w:tcPr>
                <w:p>
                  <w:pPr>
                    <w:adjustRightInd w:val="0"/>
                    <w:snapToGrid w:val="0"/>
                    <w:jc w:val="center"/>
                    <w:rPr>
                      <w:color w:val="auto"/>
                      <w:szCs w:val="21"/>
                    </w:rPr>
                  </w:pPr>
                  <w:r>
                    <w:rPr>
                      <w:color w:val="auto"/>
                      <w:szCs w:val="21"/>
                    </w:rPr>
                    <w:t>50</w:t>
                  </w:r>
                </w:p>
              </w:tc>
              <w:tc>
                <w:tcPr>
                  <w:tcW w:w="2228" w:type="pct"/>
                  <w:tcBorders>
                    <w:tl2br w:val="nil"/>
                    <w:tr2bl w:val="nil"/>
                  </w:tcBorders>
                  <w:noWrap/>
                  <w:vAlign w:val="center"/>
                </w:tcPr>
                <w:p>
                  <w:pPr>
                    <w:adjustRightInd w:val="0"/>
                    <w:snapToGrid w:val="0"/>
                    <w:jc w:val="center"/>
                    <w:rPr>
                      <w:color w:val="auto"/>
                      <w:szCs w:val="21"/>
                    </w:rPr>
                  </w:pPr>
                  <w:r>
                    <w:rPr>
                      <w:color w:val="auto"/>
                      <w:szCs w:val="21"/>
                    </w:rPr>
                    <w:t>26.29</w:t>
                  </w:r>
                </w:p>
              </w:tc>
              <w:tc>
                <w:tcPr>
                  <w:tcW w:w="1364" w:type="pct"/>
                  <w:tcBorders>
                    <w:tl2br w:val="nil"/>
                    <w:tr2bl w:val="nil"/>
                  </w:tcBorders>
                  <w:vAlign w:val="center"/>
                </w:tcPr>
                <w:p>
                  <w:pPr>
                    <w:adjustRightInd w:val="0"/>
                    <w:snapToGrid w:val="0"/>
                    <w:jc w:val="center"/>
                    <w:rPr>
                      <w:color w:val="auto"/>
                      <w:szCs w:val="21"/>
                    </w:rPr>
                  </w:pPr>
                  <w:r>
                    <w:rPr>
                      <w:color w:val="auto"/>
                      <w:szCs w:val="21"/>
                    </w:rPr>
                    <w:t>94.9684</w:t>
                  </w:r>
                </w:p>
              </w:tc>
            </w:tr>
          </w:tbl>
          <w:p>
            <w:pPr>
              <w:spacing w:line="360" w:lineRule="auto"/>
              <w:ind w:firstLine="482" w:firstLineChars="200"/>
              <w:rPr>
                <w:b/>
                <w:bCs/>
                <w:color w:val="auto"/>
                <w:sz w:val="24"/>
              </w:rPr>
            </w:pPr>
            <w:r>
              <w:rPr>
                <w:rFonts w:hint="eastAsia"/>
                <w:b/>
                <w:bCs/>
                <w:color w:val="auto"/>
                <w:sz w:val="24"/>
              </w:rPr>
              <w:t>②</w:t>
            </w:r>
            <w:r>
              <w:rPr>
                <w:b/>
                <w:bCs/>
                <w:color w:val="auto"/>
                <w:sz w:val="24"/>
              </w:rPr>
              <w:t>水库调洪计算</w:t>
            </w:r>
          </w:p>
          <w:p>
            <w:pPr>
              <w:adjustRightInd w:val="0"/>
              <w:snapToGrid w:val="0"/>
              <w:spacing w:line="360" w:lineRule="auto"/>
              <w:ind w:firstLine="480" w:firstLineChars="200"/>
              <w:rPr>
                <w:color w:val="auto"/>
                <w:sz w:val="24"/>
              </w:rPr>
            </w:pPr>
            <w:r>
              <w:rPr>
                <w:color w:val="auto"/>
                <w:sz w:val="24"/>
              </w:rPr>
              <w:t>水库设计淤积高程42.20m，起调水位为闸底板45.65m，根据P=0.33%、P=1%洪水过程线及泄流曲线进行调洪计算，300年洪水最大下泄量23.7m</w:t>
            </w:r>
            <w:r>
              <w:rPr>
                <w:color w:val="auto"/>
                <w:sz w:val="24"/>
                <w:vertAlign w:val="superscript"/>
              </w:rPr>
              <w:t>3</w:t>
            </w:r>
            <w:r>
              <w:rPr>
                <w:color w:val="auto"/>
                <w:sz w:val="24"/>
              </w:rPr>
              <w:t>/s、100年洪水最大下泄量17.0m</w:t>
            </w:r>
            <w:r>
              <w:rPr>
                <w:color w:val="auto"/>
                <w:sz w:val="24"/>
                <w:vertAlign w:val="superscript"/>
              </w:rPr>
              <w:t>3</w:t>
            </w:r>
            <w:r>
              <w:rPr>
                <w:color w:val="auto"/>
                <w:sz w:val="24"/>
              </w:rPr>
              <w:t>/s，见表2-15~2-16。</w:t>
            </w:r>
          </w:p>
          <w:p>
            <w:pPr>
              <w:ind w:firstLine="482"/>
              <w:rPr>
                <w:b/>
                <w:color w:val="auto"/>
                <w:sz w:val="24"/>
              </w:rPr>
            </w:pPr>
            <w:r>
              <w:rPr>
                <w:b/>
                <w:color w:val="auto"/>
                <w:sz w:val="24"/>
              </w:rPr>
              <w:t>表2-15               P=0.33%调洪演算成果</w:t>
            </w:r>
          </w:p>
          <w:tbl>
            <w:tblPr>
              <w:tblStyle w:val="19"/>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6"/>
              <w:gridCol w:w="506"/>
              <w:gridCol w:w="1487"/>
              <w:gridCol w:w="1029"/>
              <w:gridCol w:w="1268"/>
              <w:gridCol w:w="1181"/>
              <w:gridCol w:w="1752"/>
              <w:gridCol w:w="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8" w:type="pct"/>
                  <w:gridSpan w:val="6"/>
                  <w:tcBorders>
                    <w:tl2br w:val="nil"/>
                    <w:tr2bl w:val="nil"/>
                  </w:tcBorders>
                  <w:noWrap/>
                  <w:vAlign w:val="center"/>
                </w:tcPr>
                <w:p>
                  <w:pPr>
                    <w:jc w:val="center"/>
                    <w:rPr>
                      <w:b/>
                      <w:bCs/>
                      <w:color w:val="auto"/>
                      <w:sz w:val="18"/>
                      <w:szCs w:val="18"/>
                    </w:rPr>
                  </w:pPr>
                  <w:r>
                    <w:rPr>
                      <w:b/>
                      <w:bCs/>
                      <w:color w:val="auto"/>
                      <w:sz w:val="18"/>
                      <w:szCs w:val="18"/>
                    </w:rPr>
                    <w:t>入库洪水～泄流量关系</w:t>
                  </w:r>
                </w:p>
              </w:tc>
              <w:tc>
                <w:tcPr>
                  <w:tcW w:w="1049" w:type="pct"/>
                  <w:tcBorders>
                    <w:tl2br w:val="nil"/>
                    <w:tr2bl w:val="nil"/>
                  </w:tcBorders>
                  <w:noWrap/>
                  <w:vAlign w:val="center"/>
                </w:tcPr>
                <w:p>
                  <w:pPr>
                    <w:jc w:val="center"/>
                    <w:rPr>
                      <w:b/>
                      <w:bCs/>
                      <w:color w:val="auto"/>
                      <w:sz w:val="18"/>
                      <w:szCs w:val="18"/>
                    </w:rPr>
                  </w:pPr>
                </w:p>
              </w:tc>
              <w:tc>
                <w:tcPr>
                  <w:tcW w:w="373" w:type="pct"/>
                  <w:tcBorders>
                    <w:tl2br w:val="nil"/>
                    <w:tr2bl w:val="nil"/>
                  </w:tcBorders>
                  <w:noWrap/>
                  <w:vAlign w:val="center"/>
                </w:tcPr>
                <w:p>
                  <w:pPr>
                    <w:jc w:val="center"/>
                    <w:rPr>
                      <w:b/>
                      <w:bCs/>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b/>
                      <w:bCs/>
                      <w:color w:val="auto"/>
                      <w:sz w:val="18"/>
                      <w:szCs w:val="18"/>
                    </w:rPr>
                  </w:pPr>
                  <w:r>
                    <w:rPr>
                      <w:b/>
                      <w:bCs/>
                      <w:color w:val="auto"/>
                      <w:sz w:val="18"/>
                      <w:szCs w:val="18"/>
                    </w:rPr>
                    <w:t>序号</w:t>
                  </w:r>
                </w:p>
              </w:tc>
              <w:tc>
                <w:tcPr>
                  <w:tcW w:w="303" w:type="pct"/>
                  <w:tcBorders>
                    <w:tl2br w:val="nil"/>
                    <w:tr2bl w:val="nil"/>
                  </w:tcBorders>
                  <w:noWrap/>
                  <w:vAlign w:val="center"/>
                </w:tcPr>
                <w:p>
                  <w:pPr>
                    <w:jc w:val="center"/>
                    <w:rPr>
                      <w:b/>
                      <w:bCs/>
                      <w:color w:val="auto"/>
                      <w:sz w:val="18"/>
                      <w:szCs w:val="18"/>
                    </w:rPr>
                  </w:pPr>
                  <w:r>
                    <w:rPr>
                      <w:b/>
                      <w:bCs/>
                      <w:color w:val="auto"/>
                      <w:sz w:val="18"/>
                      <w:szCs w:val="18"/>
                    </w:rPr>
                    <w:t>时段</w:t>
                  </w:r>
                </w:p>
              </w:tc>
              <w:tc>
                <w:tcPr>
                  <w:tcW w:w="890" w:type="pct"/>
                  <w:tcBorders>
                    <w:tl2br w:val="nil"/>
                    <w:tr2bl w:val="nil"/>
                  </w:tcBorders>
                  <w:noWrap/>
                  <w:vAlign w:val="center"/>
                </w:tcPr>
                <w:p>
                  <w:pPr>
                    <w:jc w:val="center"/>
                    <w:rPr>
                      <w:b/>
                      <w:bCs/>
                      <w:color w:val="auto"/>
                      <w:sz w:val="18"/>
                      <w:szCs w:val="18"/>
                    </w:rPr>
                  </w:pPr>
                  <w:r>
                    <w:rPr>
                      <w:b/>
                      <w:bCs/>
                      <w:color w:val="auto"/>
                      <w:sz w:val="18"/>
                      <w:szCs w:val="18"/>
                    </w:rPr>
                    <w:t>入库洪水流量</w:t>
                  </w:r>
                </w:p>
                <w:p>
                  <w:pPr>
                    <w:jc w:val="center"/>
                    <w:rPr>
                      <w:b/>
                      <w:bCs/>
                      <w:color w:val="auto"/>
                      <w:sz w:val="18"/>
                      <w:szCs w:val="18"/>
                    </w:rPr>
                  </w:pPr>
                  <w:r>
                    <w:rPr>
                      <w:b/>
                      <w:bCs/>
                      <w:color w:val="auto"/>
                      <w:sz w:val="18"/>
                      <w:szCs w:val="18"/>
                    </w:rPr>
                    <w:t>(m</w:t>
                  </w:r>
                  <w:r>
                    <w:rPr>
                      <w:b/>
                      <w:bCs/>
                      <w:color w:val="auto"/>
                      <w:sz w:val="18"/>
                      <w:szCs w:val="18"/>
                      <w:vertAlign w:val="superscript"/>
                    </w:rPr>
                    <w:t>3</w:t>
                  </w:r>
                  <w:r>
                    <w:rPr>
                      <w:b/>
                      <w:bCs/>
                      <w:color w:val="auto"/>
                      <w:sz w:val="18"/>
                      <w:szCs w:val="18"/>
                    </w:rPr>
                    <w:t>/s)</w:t>
                  </w:r>
                </w:p>
              </w:tc>
              <w:tc>
                <w:tcPr>
                  <w:tcW w:w="616" w:type="pct"/>
                  <w:tcBorders>
                    <w:tl2br w:val="nil"/>
                    <w:tr2bl w:val="nil"/>
                  </w:tcBorders>
                  <w:noWrap/>
                  <w:vAlign w:val="center"/>
                </w:tcPr>
                <w:p>
                  <w:pPr>
                    <w:jc w:val="center"/>
                    <w:rPr>
                      <w:b/>
                      <w:bCs/>
                      <w:color w:val="auto"/>
                      <w:sz w:val="18"/>
                      <w:szCs w:val="18"/>
                    </w:rPr>
                  </w:pPr>
                  <w:r>
                    <w:rPr>
                      <w:b/>
                      <w:bCs/>
                      <w:color w:val="auto"/>
                      <w:sz w:val="18"/>
                      <w:szCs w:val="18"/>
                    </w:rPr>
                    <w:t>水库水位</w:t>
                  </w:r>
                </w:p>
                <w:p>
                  <w:pPr>
                    <w:jc w:val="center"/>
                    <w:rPr>
                      <w:b/>
                      <w:bCs/>
                      <w:color w:val="auto"/>
                      <w:sz w:val="18"/>
                      <w:szCs w:val="18"/>
                    </w:rPr>
                  </w:pPr>
                  <w:r>
                    <w:rPr>
                      <w:b/>
                      <w:bCs/>
                      <w:color w:val="auto"/>
                      <w:sz w:val="18"/>
                      <w:szCs w:val="18"/>
                    </w:rPr>
                    <w:t>(m)</w:t>
                  </w:r>
                </w:p>
              </w:tc>
              <w:tc>
                <w:tcPr>
                  <w:tcW w:w="759" w:type="pct"/>
                  <w:tcBorders>
                    <w:tl2br w:val="nil"/>
                    <w:tr2bl w:val="nil"/>
                  </w:tcBorders>
                  <w:noWrap/>
                  <w:vAlign w:val="center"/>
                </w:tcPr>
                <w:p>
                  <w:pPr>
                    <w:jc w:val="center"/>
                    <w:rPr>
                      <w:b/>
                      <w:bCs/>
                      <w:color w:val="auto"/>
                      <w:sz w:val="18"/>
                      <w:szCs w:val="18"/>
                    </w:rPr>
                  </w:pPr>
                  <w:r>
                    <w:rPr>
                      <w:b/>
                      <w:bCs/>
                      <w:color w:val="auto"/>
                      <w:sz w:val="18"/>
                      <w:szCs w:val="18"/>
                    </w:rPr>
                    <w:t>水库库容</w:t>
                  </w:r>
                </w:p>
                <w:p>
                  <w:pPr>
                    <w:jc w:val="center"/>
                    <w:rPr>
                      <w:b/>
                      <w:bCs/>
                      <w:color w:val="auto"/>
                      <w:sz w:val="18"/>
                      <w:szCs w:val="18"/>
                    </w:rPr>
                  </w:pPr>
                  <w:r>
                    <w:rPr>
                      <w:b/>
                      <w:bCs/>
                      <w:color w:val="auto"/>
                      <w:sz w:val="18"/>
                      <w:szCs w:val="18"/>
                    </w:rPr>
                    <w:t>(万m</w:t>
                  </w:r>
                  <w:r>
                    <w:rPr>
                      <w:b/>
                      <w:bCs/>
                      <w:color w:val="auto"/>
                      <w:sz w:val="18"/>
                      <w:szCs w:val="18"/>
                      <w:vertAlign w:val="superscript"/>
                    </w:rPr>
                    <w:t>3</w:t>
                  </w:r>
                  <w:r>
                    <w:rPr>
                      <w:b/>
                      <w:bCs/>
                      <w:color w:val="auto"/>
                      <w:sz w:val="18"/>
                      <w:szCs w:val="18"/>
                    </w:rPr>
                    <w:t>)</w:t>
                  </w:r>
                </w:p>
              </w:tc>
              <w:tc>
                <w:tcPr>
                  <w:tcW w:w="707" w:type="pct"/>
                  <w:tcBorders>
                    <w:tl2br w:val="nil"/>
                    <w:tr2bl w:val="nil"/>
                  </w:tcBorders>
                  <w:noWrap/>
                  <w:vAlign w:val="center"/>
                </w:tcPr>
                <w:p>
                  <w:pPr>
                    <w:jc w:val="center"/>
                    <w:rPr>
                      <w:b/>
                      <w:bCs/>
                      <w:color w:val="auto"/>
                      <w:sz w:val="18"/>
                      <w:szCs w:val="18"/>
                    </w:rPr>
                  </w:pPr>
                  <w:r>
                    <w:rPr>
                      <w:b/>
                      <w:bCs/>
                      <w:color w:val="auto"/>
                      <w:sz w:val="18"/>
                      <w:szCs w:val="18"/>
                    </w:rPr>
                    <w:t>下泄流量</w:t>
                  </w:r>
                </w:p>
                <w:p>
                  <w:pPr>
                    <w:jc w:val="center"/>
                    <w:rPr>
                      <w:b/>
                      <w:bCs/>
                      <w:color w:val="auto"/>
                      <w:sz w:val="18"/>
                      <w:szCs w:val="18"/>
                    </w:rPr>
                  </w:pPr>
                  <w:r>
                    <w:rPr>
                      <w:b/>
                      <w:bCs/>
                      <w:color w:val="auto"/>
                      <w:sz w:val="18"/>
                      <w:szCs w:val="18"/>
                    </w:rPr>
                    <w:t>(m</w:t>
                  </w:r>
                  <w:r>
                    <w:rPr>
                      <w:b/>
                      <w:bCs/>
                      <w:color w:val="auto"/>
                      <w:sz w:val="18"/>
                      <w:szCs w:val="18"/>
                      <w:vertAlign w:val="superscript"/>
                    </w:rPr>
                    <w:t>3</w:t>
                  </w:r>
                  <w:r>
                    <w:rPr>
                      <w:b/>
                      <w:bCs/>
                      <w:color w:val="auto"/>
                      <w:sz w:val="18"/>
                      <w:szCs w:val="18"/>
                    </w:rPr>
                    <w:t>/s)</w:t>
                  </w:r>
                </w:p>
              </w:tc>
              <w:tc>
                <w:tcPr>
                  <w:tcW w:w="1049" w:type="pct"/>
                  <w:tcBorders>
                    <w:tl2br w:val="nil"/>
                    <w:tr2bl w:val="nil"/>
                  </w:tcBorders>
                  <w:noWrap/>
                  <w:vAlign w:val="center"/>
                </w:tcPr>
                <w:p>
                  <w:pPr>
                    <w:jc w:val="center"/>
                    <w:rPr>
                      <w:b/>
                      <w:bCs/>
                      <w:color w:val="auto"/>
                      <w:sz w:val="18"/>
                      <w:szCs w:val="18"/>
                    </w:rPr>
                  </w:pPr>
                  <w:r>
                    <w:rPr>
                      <w:b/>
                      <w:bCs/>
                      <w:color w:val="auto"/>
                      <w:sz w:val="18"/>
                      <w:szCs w:val="18"/>
                    </w:rPr>
                    <w:t>洪水时段(h)</w:t>
                  </w:r>
                </w:p>
              </w:tc>
              <w:tc>
                <w:tcPr>
                  <w:tcW w:w="373" w:type="pct"/>
                  <w:tcBorders>
                    <w:tl2br w:val="nil"/>
                    <w:tr2bl w:val="nil"/>
                  </w:tcBorders>
                  <w:noWrap/>
                  <w:vAlign w:val="center"/>
                </w:tcPr>
                <w:p>
                  <w:pPr>
                    <w:jc w:val="center"/>
                    <w:rPr>
                      <w:b/>
                      <w:bCs/>
                      <w:color w:val="auto"/>
                      <w:sz w:val="18"/>
                      <w:szCs w:val="18"/>
                    </w:rPr>
                  </w:pPr>
                  <w:r>
                    <w:rPr>
                      <w:b/>
                      <w:bCs/>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1</w:t>
                  </w:r>
                </w:p>
              </w:tc>
              <w:tc>
                <w:tcPr>
                  <w:tcW w:w="303" w:type="pct"/>
                  <w:tcBorders>
                    <w:tl2br w:val="nil"/>
                    <w:tr2bl w:val="nil"/>
                  </w:tcBorders>
                  <w:noWrap/>
                  <w:vAlign w:val="center"/>
                </w:tcPr>
                <w:p>
                  <w:pPr>
                    <w:jc w:val="center"/>
                    <w:rPr>
                      <w:color w:val="auto"/>
                      <w:sz w:val="18"/>
                      <w:szCs w:val="18"/>
                    </w:rPr>
                  </w:pPr>
                  <w:r>
                    <w:rPr>
                      <w:color w:val="auto"/>
                      <w:sz w:val="18"/>
                      <w:szCs w:val="18"/>
                    </w:rPr>
                    <w:t>0</w:t>
                  </w:r>
                </w:p>
              </w:tc>
              <w:tc>
                <w:tcPr>
                  <w:tcW w:w="890" w:type="pct"/>
                  <w:tcBorders>
                    <w:tl2br w:val="nil"/>
                    <w:tr2bl w:val="nil"/>
                  </w:tcBorders>
                  <w:noWrap/>
                  <w:vAlign w:val="center"/>
                </w:tcPr>
                <w:p>
                  <w:pPr>
                    <w:jc w:val="center"/>
                    <w:rPr>
                      <w:color w:val="auto"/>
                      <w:sz w:val="18"/>
                      <w:szCs w:val="18"/>
                    </w:rPr>
                  </w:pPr>
                  <w:r>
                    <w:rPr>
                      <w:color w:val="auto"/>
                      <w:sz w:val="18"/>
                      <w:szCs w:val="18"/>
                    </w:rPr>
                    <w:t>0</w:t>
                  </w:r>
                </w:p>
              </w:tc>
              <w:tc>
                <w:tcPr>
                  <w:tcW w:w="616" w:type="pct"/>
                  <w:tcBorders>
                    <w:tl2br w:val="nil"/>
                    <w:tr2bl w:val="nil"/>
                  </w:tcBorders>
                  <w:noWrap/>
                  <w:vAlign w:val="center"/>
                </w:tcPr>
                <w:p>
                  <w:pPr>
                    <w:jc w:val="center"/>
                    <w:rPr>
                      <w:color w:val="auto"/>
                      <w:sz w:val="18"/>
                      <w:szCs w:val="18"/>
                    </w:rPr>
                  </w:pPr>
                  <w:r>
                    <w:rPr>
                      <w:color w:val="auto"/>
                      <w:sz w:val="18"/>
                      <w:szCs w:val="18"/>
                    </w:rPr>
                    <w:t>45.65</w:t>
                  </w:r>
                </w:p>
              </w:tc>
              <w:tc>
                <w:tcPr>
                  <w:tcW w:w="759" w:type="pct"/>
                  <w:tcBorders>
                    <w:tl2br w:val="nil"/>
                    <w:tr2bl w:val="nil"/>
                  </w:tcBorders>
                  <w:noWrap/>
                  <w:vAlign w:val="center"/>
                </w:tcPr>
                <w:p>
                  <w:pPr>
                    <w:jc w:val="center"/>
                    <w:rPr>
                      <w:color w:val="auto"/>
                      <w:sz w:val="18"/>
                      <w:szCs w:val="18"/>
                    </w:rPr>
                  </w:pPr>
                  <w:r>
                    <w:rPr>
                      <w:color w:val="auto"/>
                      <w:sz w:val="18"/>
                      <w:szCs w:val="18"/>
                    </w:rPr>
                    <w:t>45.24</w:t>
                  </w:r>
                </w:p>
              </w:tc>
              <w:tc>
                <w:tcPr>
                  <w:tcW w:w="707" w:type="pct"/>
                  <w:tcBorders>
                    <w:tl2br w:val="nil"/>
                    <w:tr2bl w:val="nil"/>
                  </w:tcBorders>
                  <w:noWrap/>
                  <w:vAlign w:val="center"/>
                </w:tcPr>
                <w:p>
                  <w:pPr>
                    <w:jc w:val="center"/>
                    <w:rPr>
                      <w:color w:val="auto"/>
                      <w:sz w:val="18"/>
                      <w:szCs w:val="18"/>
                    </w:rPr>
                  </w:pPr>
                  <w:r>
                    <w:rPr>
                      <w:color w:val="auto"/>
                      <w:sz w:val="18"/>
                      <w:szCs w:val="18"/>
                    </w:rPr>
                    <w:t>0.00</w:t>
                  </w:r>
                </w:p>
              </w:tc>
              <w:tc>
                <w:tcPr>
                  <w:tcW w:w="1049" w:type="pct"/>
                  <w:tcBorders>
                    <w:tl2br w:val="nil"/>
                    <w:tr2bl w:val="nil"/>
                  </w:tcBorders>
                  <w:noWrap/>
                  <w:vAlign w:val="center"/>
                </w:tcPr>
                <w:p>
                  <w:pPr>
                    <w:jc w:val="center"/>
                    <w:rPr>
                      <w:color w:val="auto"/>
                      <w:sz w:val="18"/>
                      <w:szCs w:val="18"/>
                    </w:rPr>
                  </w:pPr>
                  <w:r>
                    <w:rPr>
                      <w:color w:val="auto"/>
                      <w:sz w:val="18"/>
                      <w:szCs w:val="18"/>
                    </w:rPr>
                    <w:t>起调水位(m)</w:t>
                  </w:r>
                </w:p>
              </w:tc>
              <w:tc>
                <w:tcPr>
                  <w:tcW w:w="373" w:type="pct"/>
                  <w:tcBorders>
                    <w:tl2br w:val="nil"/>
                    <w:tr2bl w:val="nil"/>
                  </w:tcBorders>
                  <w:noWrap/>
                  <w:vAlign w:val="center"/>
                </w:tcPr>
                <w:p>
                  <w:pPr>
                    <w:jc w:val="center"/>
                    <w:rPr>
                      <w:color w:val="auto"/>
                      <w:sz w:val="18"/>
                      <w:szCs w:val="18"/>
                    </w:rPr>
                  </w:pPr>
                  <w:r>
                    <w:rPr>
                      <w:color w:val="auto"/>
                      <w:sz w:val="18"/>
                      <w:szCs w:val="18"/>
                    </w:rPr>
                    <w:t>45.65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2</w:t>
                  </w:r>
                </w:p>
              </w:tc>
              <w:tc>
                <w:tcPr>
                  <w:tcW w:w="303" w:type="pct"/>
                  <w:tcBorders>
                    <w:tl2br w:val="nil"/>
                    <w:tr2bl w:val="nil"/>
                  </w:tcBorders>
                  <w:noWrap/>
                  <w:vAlign w:val="center"/>
                </w:tcPr>
                <w:p>
                  <w:pPr>
                    <w:jc w:val="center"/>
                    <w:rPr>
                      <w:color w:val="auto"/>
                      <w:sz w:val="18"/>
                      <w:szCs w:val="18"/>
                    </w:rPr>
                  </w:pPr>
                  <w:r>
                    <w:rPr>
                      <w:color w:val="auto"/>
                      <w:sz w:val="18"/>
                      <w:szCs w:val="18"/>
                    </w:rPr>
                    <w:t>1</w:t>
                  </w:r>
                </w:p>
              </w:tc>
              <w:tc>
                <w:tcPr>
                  <w:tcW w:w="890" w:type="pct"/>
                  <w:tcBorders>
                    <w:tl2br w:val="nil"/>
                    <w:tr2bl w:val="nil"/>
                  </w:tcBorders>
                  <w:noWrap/>
                  <w:vAlign w:val="center"/>
                </w:tcPr>
                <w:p>
                  <w:pPr>
                    <w:jc w:val="center"/>
                    <w:rPr>
                      <w:color w:val="auto"/>
                      <w:sz w:val="18"/>
                      <w:szCs w:val="18"/>
                    </w:rPr>
                  </w:pPr>
                  <w:r>
                    <w:rPr>
                      <w:color w:val="auto"/>
                      <w:sz w:val="18"/>
                      <w:szCs w:val="18"/>
                    </w:rPr>
                    <w:t>37.9</w:t>
                  </w:r>
                </w:p>
              </w:tc>
              <w:tc>
                <w:tcPr>
                  <w:tcW w:w="616" w:type="pct"/>
                  <w:tcBorders>
                    <w:tl2br w:val="nil"/>
                    <w:tr2bl w:val="nil"/>
                  </w:tcBorders>
                  <w:noWrap/>
                  <w:vAlign w:val="center"/>
                </w:tcPr>
                <w:p>
                  <w:pPr>
                    <w:jc w:val="center"/>
                    <w:rPr>
                      <w:color w:val="auto"/>
                      <w:sz w:val="18"/>
                      <w:szCs w:val="18"/>
                    </w:rPr>
                  </w:pPr>
                  <w:r>
                    <w:rPr>
                      <w:color w:val="auto"/>
                      <w:sz w:val="18"/>
                      <w:szCs w:val="18"/>
                    </w:rPr>
                    <w:t>46.03</w:t>
                  </w:r>
                </w:p>
              </w:tc>
              <w:tc>
                <w:tcPr>
                  <w:tcW w:w="759" w:type="pct"/>
                  <w:tcBorders>
                    <w:tl2br w:val="nil"/>
                    <w:tr2bl w:val="nil"/>
                  </w:tcBorders>
                  <w:noWrap/>
                  <w:vAlign w:val="center"/>
                </w:tcPr>
                <w:p>
                  <w:pPr>
                    <w:jc w:val="center"/>
                    <w:rPr>
                      <w:color w:val="auto"/>
                      <w:sz w:val="18"/>
                      <w:szCs w:val="18"/>
                    </w:rPr>
                  </w:pPr>
                  <w:r>
                    <w:rPr>
                      <w:color w:val="auto"/>
                      <w:sz w:val="18"/>
                      <w:szCs w:val="18"/>
                    </w:rPr>
                    <w:t>51.93</w:t>
                  </w:r>
                </w:p>
              </w:tc>
              <w:tc>
                <w:tcPr>
                  <w:tcW w:w="707" w:type="pct"/>
                  <w:tcBorders>
                    <w:tl2br w:val="nil"/>
                    <w:tr2bl w:val="nil"/>
                  </w:tcBorders>
                  <w:noWrap/>
                  <w:vAlign w:val="center"/>
                </w:tcPr>
                <w:p>
                  <w:pPr>
                    <w:jc w:val="center"/>
                    <w:rPr>
                      <w:color w:val="auto"/>
                      <w:sz w:val="18"/>
                      <w:szCs w:val="18"/>
                    </w:rPr>
                  </w:pPr>
                  <w:r>
                    <w:rPr>
                      <w:color w:val="auto"/>
                      <w:sz w:val="18"/>
                      <w:szCs w:val="18"/>
                    </w:rPr>
                    <w:t>0.72</w:t>
                  </w:r>
                </w:p>
              </w:tc>
              <w:tc>
                <w:tcPr>
                  <w:tcW w:w="1049" w:type="pct"/>
                  <w:tcBorders>
                    <w:tl2br w:val="nil"/>
                    <w:tr2bl w:val="nil"/>
                  </w:tcBorders>
                  <w:noWrap/>
                  <w:vAlign w:val="center"/>
                </w:tcPr>
                <w:p>
                  <w:pPr>
                    <w:jc w:val="center"/>
                    <w:rPr>
                      <w:color w:val="auto"/>
                      <w:sz w:val="18"/>
                      <w:szCs w:val="18"/>
                    </w:rPr>
                  </w:pPr>
                  <w:r>
                    <w:rPr>
                      <w:color w:val="auto"/>
                      <w:sz w:val="18"/>
                      <w:szCs w:val="18"/>
                    </w:rPr>
                    <w:t>泥面(库底)高程(m)</w:t>
                  </w:r>
                </w:p>
              </w:tc>
              <w:tc>
                <w:tcPr>
                  <w:tcW w:w="373" w:type="pct"/>
                  <w:tcBorders>
                    <w:tl2br w:val="nil"/>
                    <w:tr2bl w:val="nil"/>
                  </w:tcBorders>
                  <w:noWrap/>
                  <w:vAlign w:val="center"/>
                </w:tcPr>
                <w:p>
                  <w:pPr>
                    <w:jc w:val="center"/>
                    <w:rPr>
                      <w:color w:val="auto"/>
                      <w:sz w:val="18"/>
                      <w:szCs w:val="18"/>
                    </w:rPr>
                  </w:pPr>
                  <w:r>
                    <w:rPr>
                      <w:color w:val="auto"/>
                      <w:sz w:val="18"/>
                      <w:szCs w:val="18"/>
                    </w:rPr>
                    <w:t>42.06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3</w:t>
                  </w:r>
                </w:p>
              </w:tc>
              <w:tc>
                <w:tcPr>
                  <w:tcW w:w="303" w:type="pct"/>
                  <w:tcBorders>
                    <w:tl2br w:val="nil"/>
                    <w:tr2bl w:val="nil"/>
                  </w:tcBorders>
                  <w:noWrap/>
                  <w:vAlign w:val="center"/>
                </w:tcPr>
                <w:p>
                  <w:pPr>
                    <w:jc w:val="center"/>
                    <w:rPr>
                      <w:color w:val="auto"/>
                      <w:sz w:val="18"/>
                      <w:szCs w:val="18"/>
                    </w:rPr>
                  </w:pPr>
                  <w:r>
                    <w:rPr>
                      <w:color w:val="auto"/>
                      <w:sz w:val="18"/>
                      <w:szCs w:val="18"/>
                    </w:rPr>
                    <w:t>2</w:t>
                  </w:r>
                </w:p>
              </w:tc>
              <w:tc>
                <w:tcPr>
                  <w:tcW w:w="890" w:type="pct"/>
                  <w:tcBorders>
                    <w:tl2br w:val="nil"/>
                    <w:tr2bl w:val="nil"/>
                  </w:tcBorders>
                  <w:noWrap/>
                  <w:vAlign w:val="center"/>
                </w:tcPr>
                <w:p>
                  <w:pPr>
                    <w:jc w:val="center"/>
                    <w:rPr>
                      <w:color w:val="auto"/>
                      <w:sz w:val="18"/>
                      <w:szCs w:val="18"/>
                    </w:rPr>
                  </w:pPr>
                  <w:r>
                    <w:rPr>
                      <w:color w:val="auto"/>
                      <w:sz w:val="18"/>
                      <w:szCs w:val="18"/>
                    </w:rPr>
                    <w:t>66</w:t>
                  </w:r>
                </w:p>
              </w:tc>
              <w:tc>
                <w:tcPr>
                  <w:tcW w:w="616" w:type="pct"/>
                  <w:tcBorders>
                    <w:tl2br w:val="nil"/>
                    <w:tr2bl w:val="nil"/>
                  </w:tcBorders>
                  <w:noWrap/>
                  <w:vAlign w:val="center"/>
                </w:tcPr>
                <w:p>
                  <w:pPr>
                    <w:jc w:val="center"/>
                    <w:rPr>
                      <w:color w:val="auto"/>
                      <w:sz w:val="18"/>
                      <w:szCs w:val="18"/>
                    </w:rPr>
                  </w:pPr>
                  <w:r>
                    <w:rPr>
                      <w:color w:val="auto"/>
                      <w:sz w:val="18"/>
                      <w:szCs w:val="18"/>
                    </w:rPr>
                    <w:t>47.71</w:t>
                  </w:r>
                </w:p>
              </w:tc>
              <w:tc>
                <w:tcPr>
                  <w:tcW w:w="759" w:type="pct"/>
                  <w:tcBorders>
                    <w:tl2br w:val="nil"/>
                    <w:tr2bl w:val="nil"/>
                  </w:tcBorders>
                  <w:noWrap/>
                  <w:vAlign w:val="center"/>
                </w:tcPr>
                <w:p>
                  <w:pPr>
                    <w:jc w:val="center"/>
                    <w:rPr>
                      <w:color w:val="auto"/>
                      <w:sz w:val="18"/>
                      <w:szCs w:val="18"/>
                    </w:rPr>
                  </w:pPr>
                  <w:r>
                    <w:rPr>
                      <w:color w:val="auto"/>
                      <w:sz w:val="18"/>
                      <w:szCs w:val="18"/>
                    </w:rPr>
                    <w:t>68.97</w:t>
                  </w:r>
                </w:p>
              </w:tc>
              <w:tc>
                <w:tcPr>
                  <w:tcW w:w="707" w:type="pct"/>
                  <w:tcBorders>
                    <w:tl2br w:val="nil"/>
                    <w:tr2bl w:val="nil"/>
                  </w:tcBorders>
                  <w:noWrap/>
                  <w:vAlign w:val="center"/>
                </w:tcPr>
                <w:p>
                  <w:pPr>
                    <w:jc w:val="center"/>
                    <w:rPr>
                      <w:color w:val="auto"/>
                      <w:sz w:val="18"/>
                      <w:szCs w:val="18"/>
                    </w:rPr>
                  </w:pPr>
                  <w:r>
                    <w:rPr>
                      <w:color w:val="auto"/>
                      <w:sz w:val="18"/>
                      <w:szCs w:val="18"/>
                    </w:rPr>
                    <w:t>8.52</w:t>
                  </w:r>
                </w:p>
              </w:tc>
              <w:tc>
                <w:tcPr>
                  <w:tcW w:w="1049" w:type="pct"/>
                  <w:tcBorders>
                    <w:tl2br w:val="nil"/>
                    <w:tr2bl w:val="nil"/>
                  </w:tcBorders>
                  <w:noWrap/>
                  <w:vAlign w:val="center"/>
                </w:tcPr>
                <w:p>
                  <w:pPr>
                    <w:jc w:val="center"/>
                    <w:rPr>
                      <w:color w:val="auto"/>
                      <w:sz w:val="18"/>
                      <w:szCs w:val="18"/>
                    </w:rPr>
                  </w:pPr>
                  <w:r>
                    <w:rPr>
                      <w:color w:val="auto"/>
                      <w:sz w:val="18"/>
                      <w:szCs w:val="18"/>
                    </w:rPr>
                    <w:t>历经最高水位(m)</w:t>
                  </w:r>
                </w:p>
              </w:tc>
              <w:tc>
                <w:tcPr>
                  <w:tcW w:w="373" w:type="pct"/>
                  <w:tcBorders>
                    <w:tl2br w:val="nil"/>
                    <w:tr2bl w:val="nil"/>
                  </w:tcBorders>
                  <w:noWrap/>
                  <w:vAlign w:val="center"/>
                </w:tcPr>
                <w:p>
                  <w:pPr>
                    <w:jc w:val="center"/>
                    <w:rPr>
                      <w:color w:val="auto"/>
                      <w:sz w:val="18"/>
                      <w:szCs w:val="18"/>
                    </w:rPr>
                  </w:pPr>
                  <w:r>
                    <w:rPr>
                      <w:color w:val="auto"/>
                      <w:sz w:val="18"/>
                      <w:szCs w:val="18"/>
                    </w:rPr>
                    <w:t>49.84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4</w:t>
                  </w:r>
                </w:p>
              </w:tc>
              <w:tc>
                <w:tcPr>
                  <w:tcW w:w="303" w:type="pct"/>
                  <w:tcBorders>
                    <w:tl2br w:val="nil"/>
                    <w:tr2bl w:val="nil"/>
                  </w:tcBorders>
                  <w:noWrap/>
                  <w:vAlign w:val="center"/>
                </w:tcPr>
                <w:p>
                  <w:pPr>
                    <w:jc w:val="center"/>
                    <w:rPr>
                      <w:color w:val="auto"/>
                      <w:sz w:val="18"/>
                      <w:szCs w:val="18"/>
                    </w:rPr>
                  </w:pPr>
                  <w:r>
                    <w:rPr>
                      <w:color w:val="auto"/>
                      <w:sz w:val="18"/>
                      <w:szCs w:val="18"/>
                    </w:rPr>
                    <w:t>3</w:t>
                  </w:r>
                </w:p>
              </w:tc>
              <w:tc>
                <w:tcPr>
                  <w:tcW w:w="890" w:type="pct"/>
                  <w:tcBorders>
                    <w:tl2br w:val="nil"/>
                    <w:tr2bl w:val="nil"/>
                  </w:tcBorders>
                  <w:noWrap/>
                  <w:vAlign w:val="center"/>
                </w:tcPr>
                <w:p>
                  <w:pPr>
                    <w:jc w:val="center"/>
                    <w:rPr>
                      <w:color w:val="auto"/>
                      <w:sz w:val="18"/>
                      <w:szCs w:val="18"/>
                    </w:rPr>
                  </w:pPr>
                  <w:r>
                    <w:rPr>
                      <w:color w:val="auto"/>
                      <w:sz w:val="18"/>
                      <w:szCs w:val="18"/>
                    </w:rPr>
                    <w:t>52.7</w:t>
                  </w:r>
                </w:p>
              </w:tc>
              <w:tc>
                <w:tcPr>
                  <w:tcW w:w="616" w:type="pct"/>
                  <w:tcBorders>
                    <w:tl2br w:val="nil"/>
                    <w:tr2bl w:val="nil"/>
                  </w:tcBorders>
                  <w:noWrap/>
                  <w:vAlign w:val="center"/>
                </w:tcPr>
                <w:p>
                  <w:pPr>
                    <w:jc w:val="center"/>
                    <w:rPr>
                      <w:color w:val="auto"/>
                      <w:sz w:val="18"/>
                      <w:szCs w:val="18"/>
                    </w:rPr>
                  </w:pPr>
                  <w:r>
                    <w:rPr>
                      <w:color w:val="auto"/>
                      <w:sz w:val="18"/>
                      <w:szCs w:val="18"/>
                    </w:rPr>
                    <w:t>49.17</w:t>
                  </w:r>
                </w:p>
              </w:tc>
              <w:tc>
                <w:tcPr>
                  <w:tcW w:w="759" w:type="pct"/>
                  <w:tcBorders>
                    <w:tl2br w:val="nil"/>
                    <w:tr2bl w:val="nil"/>
                  </w:tcBorders>
                  <w:noWrap/>
                  <w:vAlign w:val="center"/>
                </w:tcPr>
                <w:p>
                  <w:pPr>
                    <w:jc w:val="center"/>
                    <w:rPr>
                      <w:color w:val="auto"/>
                      <w:sz w:val="18"/>
                      <w:szCs w:val="18"/>
                    </w:rPr>
                  </w:pPr>
                  <w:r>
                    <w:rPr>
                      <w:color w:val="auto"/>
                      <w:sz w:val="18"/>
                      <w:szCs w:val="18"/>
                    </w:rPr>
                    <w:t>85.44</w:t>
                  </w:r>
                </w:p>
              </w:tc>
              <w:tc>
                <w:tcPr>
                  <w:tcW w:w="707" w:type="pct"/>
                  <w:tcBorders>
                    <w:tl2br w:val="nil"/>
                    <w:tr2bl w:val="nil"/>
                  </w:tcBorders>
                  <w:noWrap/>
                  <w:vAlign w:val="center"/>
                </w:tcPr>
                <w:p>
                  <w:pPr>
                    <w:jc w:val="center"/>
                    <w:rPr>
                      <w:color w:val="auto"/>
                      <w:sz w:val="18"/>
                      <w:szCs w:val="18"/>
                    </w:rPr>
                  </w:pPr>
                  <w:r>
                    <w:rPr>
                      <w:color w:val="auto"/>
                      <w:sz w:val="18"/>
                      <w:szCs w:val="18"/>
                    </w:rPr>
                    <w:t>18.70</w:t>
                  </w:r>
                </w:p>
              </w:tc>
              <w:tc>
                <w:tcPr>
                  <w:tcW w:w="1049" w:type="pct"/>
                  <w:tcBorders>
                    <w:tl2br w:val="nil"/>
                    <w:tr2bl w:val="nil"/>
                  </w:tcBorders>
                  <w:noWrap/>
                  <w:vAlign w:val="center"/>
                </w:tcPr>
                <w:p>
                  <w:pPr>
                    <w:jc w:val="center"/>
                    <w:rPr>
                      <w:color w:val="auto"/>
                      <w:sz w:val="18"/>
                      <w:szCs w:val="18"/>
                    </w:rPr>
                  </w:pPr>
                  <w:r>
                    <w:rPr>
                      <w:color w:val="auto"/>
                      <w:sz w:val="18"/>
                      <w:szCs w:val="18"/>
                    </w:rPr>
                    <w:t>历经最大库容(万m3)</w:t>
                  </w:r>
                </w:p>
              </w:tc>
              <w:tc>
                <w:tcPr>
                  <w:tcW w:w="373" w:type="pct"/>
                  <w:tcBorders>
                    <w:tl2br w:val="nil"/>
                    <w:tr2bl w:val="nil"/>
                  </w:tcBorders>
                  <w:noWrap/>
                  <w:vAlign w:val="center"/>
                </w:tcPr>
                <w:p>
                  <w:pPr>
                    <w:jc w:val="center"/>
                    <w:rPr>
                      <w:color w:val="auto"/>
                      <w:sz w:val="18"/>
                      <w:szCs w:val="18"/>
                    </w:rPr>
                  </w:pPr>
                  <w:r>
                    <w:rPr>
                      <w:color w:val="auto"/>
                      <w:sz w:val="18"/>
                      <w:szCs w:val="18"/>
                    </w:rPr>
                    <w:t>93.09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5</w:t>
                  </w:r>
                </w:p>
              </w:tc>
              <w:tc>
                <w:tcPr>
                  <w:tcW w:w="303" w:type="pct"/>
                  <w:tcBorders>
                    <w:tl2br w:val="nil"/>
                    <w:tr2bl w:val="nil"/>
                  </w:tcBorders>
                  <w:noWrap/>
                  <w:vAlign w:val="center"/>
                </w:tcPr>
                <w:p>
                  <w:pPr>
                    <w:jc w:val="center"/>
                    <w:rPr>
                      <w:color w:val="auto"/>
                      <w:sz w:val="18"/>
                      <w:szCs w:val="18"/>
                    </w:rPr>
                  </w:pPr>
                  <w:r>
                    <w:rPr>
                      <w:color w:val="auto"/>
                      <w:sz w:val="18"/>
                      <w:szCs w:val="18"/>
                    </w:rPr>
                    <w:t>4</w:t>
                  </w:r>
                </w:p>
              </w:tc>
              <w:tc>
                <w:tcPr>
                  <w:tcW w:w="890" w:type="pct"/>
                  <w:tcBorders>
                    <w:tl2br w:val="nil"/>
                    <w:tr2bl w:val="nil"/>
                  </w:tcBorders>
                  <w:noWrap/>
                  <w:vAlign w:val="center"/>
                </w:tcPr>
                <w:p>
                  <w:pPr>
                    <w:jc w:val="center"/>
                    <w:rPr>
                      <w:color w:val="auto"/>
                      <w:sz w:val="18"/>
                      <w:szCs w:val="18"/>
                    </w:rPr>
                  </w:pPr>
                  <w:r>
                    <w:rPr>
                      <w:color w:val="auto"/>
                      <w:sz w:val="18"/>
                      <w:szCs w:val="18"/>
                    </w:rPr>
                    <w:t>31.2</w:t>
                  </w:r>
                </w:p>
              </w:tc>
              <w:tc>
                <w:tcPr>
                  <w:tcW w:w="616" w:type="pct"/>
                  <w:tcBorders>
                    <w:tl2br w:val="nil"/>
                    <w:tr2bl w:val="nil"/>
                  </w:tcBorders>
                  <w:noWrap/>
                  <w:vAlign w:val="center"/>
                </w:tcPr>
                <w:p>
                  <w:pPr>
                    <w:jc w:val="center"/>
                    <w:rPr>
                      <w:color w:val="auto"/>
                      <w:sz w:val="18"/>
                      <w:szCs w:val="18"/>
                    </w:rPr>
                  </w:pPr>
                  <w:r>
                    <w:rPr>
                      <w:color w:val="auto"/>
                      <w:sz w:val="18"/>
                      <w:szCs w:val="18"/>
                    </w:rPr>
                    <w:t>49.82</w:t>
                  </w:r>
                </w:p>
              </w:tc>
              <w:tc>
                <w:tcPr>
                  <w:tcW w:w="759" w:type="pct"/>
                  <w:tcBorders>
                    <w:tl2br w:val="nil"/>
                    <w:tr2bl w:val="nil"/>
                  </w:tcBorders>
                  <w:noWrap/>
                  <w:vAlign w:val="center"/>
                </w:tcPr>
                <w:p>
                  <w:pPr>
                    <w:jc w:val="center"/>
                    <w:rPr>
                      <w:color w:val="auto"/>
                      <w:sz w:val="18"/>
                      <w:szCs w:val="18"/>
                    </w:rPr>
                  </w:pPr>
                  <w:r>
                    <w:rPr>
                      <w:color w:val="auto"/>
                      <w:sz w:val="18"/>
                      <w:szCs w:val="18"/>
                    </w:rPr>
                    <w:t>92.93</w:t>
                  </w:r>
                </w:p>
              </w:tc>
              <w:tc>
                <w:tcPr>
                  <w:tcW w:w="707" w:type="pct"/>
                  <w:tcBorders>
                    <w:tl2br w:val="nil"/>
                    <w:tr2bl w:val="nil"/>
                  </w:tcBorders>
                  <w:noWrap/>
                  <w:vAlign w:val="center"/>
                </w:tcPr>
                <w:p>
                  <w:pPr>
                    <w:jc w:val="center"/>
                    <w:rPr>
                      <w:color w:val="auto"/>
                      <w:sz w:val="18"/>
                      <w:szCs w:val="18"/>
                    </w:rPr>
                  </w:pPr>
                  <w:r>
                    <w:rPr>
                      <w:color w:val="auto"/>
                      <w:sz w:val="18"/>
                      <w:szCs w:val="18"/>
                    </w:rPr>
                    <w:t>23.59</w:t>
                  </w:r>
                </w:p>
              </w:tc>
              <w:tc>
                <w:tcPr>
                  <w:tcW w:w="1049" w:type="pct"/>
                  <w:tcBorders>
                    <w:tl2br w:val="nil"/>
                    <w:tr2bl w:val="nil"/>
                  </w:tcBorders>
                  <w:noWrap/>
                  <w:vAlign w:val="center"/>
                </w:tcPr>
                <w:p>
                  <w:pPr>
                    <w:jc w:val="center"/>
                    <w:rPr>
                      <w:color w:val="auto"/>
                      <w:sz w:val="18"/>
                      <w:szCs w:val="18"/>
                    </w:rPr>
                  </w:pPr>
                  <w:r>
                    <w:rPr>
                      <w:color w:val="auto"/>
                      <w:sz w:val="18"/>
                      <w:szCs w:val="18"/>
                    </w:rPr>
                    <w:t>历经最大泄量(m3/s)</w:t>
                  </w:r>
                </w:p>
              </w:tc>
              <w:tc>
                <w:tcPr>
                  <w:tcW w:w="373" w:type="pct"/>
                  <w:tcBorders>
                    <w:tl2br w:val="nil"/>
                    <w:tr2bl w:val="nil"/>
                  </w:tcBorders>
                  <w:noWrap/>
                  <w:vAlign w:val="center"/>
                </w:tcPr>
                <w:p>
                  <w:pPr>
                    <w:jc w:val="center"/>
                    <w:rPr>
                      <w:color w:val="auto"/>
                      <w:sz w:val="18"/>
                      <w:szCs w:val="18"/>
                    </w:rPr>
                  </w:pPr>
                  <w:r>
                    <w:rPr>
                      <w:color w:val="auto"/>
                      <w:sz w:val="18"/>
                      <w:szCs w:val="18"/>
                    </w:rPr>
                    <w:t>23.70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6</w:t>
                  </w:r>
                </w:p>
              </w:tc>
              <w:tc>
                <w:tcPr>
                  <w:tcW w:w="303" w:type="pct"/>
                  <w:tcBorders>
                    <w:tl2br w:val="nil"/>
                    <w:tr2bl w:val="nil"/>
                  </w:tcBorders>
                  <w:noWrap/>
                  <w:vAlign w:val="center"/>
                </w:tcPr>
                <w:p>
                  <w:pPr>
                    <w:jc w:val="center"/>
                    <w:rPr>
                      <w:color w:val="auto"/>
                      <w:sz w:val="18"/>
                      <w:szCs w:val="18"/>
                    </w:rPr>
                  </w:pPr>
                  <w:r>
                    <w:rPr>
                      <w:color w:val="auto"/>
                      <w:sz w:val="18"/>
                      <w:szCs w:val="18"/>
                    </w:rPr>
                    <w:t>5</w:t>
                  </w:r>
                </w:p>
              </w:tc>
              <w:tc>
                <w:tcPr>
                  <w:tcW w:w="890" w:type="pct"/>
                  <w:tcBorders>
                    <w:tl2br w:val="nil"/>
                    <w:tr2bl w:val="nil"/>
                  </w:tcBorders>
                  <w:noWrap/>
                  <w:vAlign w:val="center"/>
                </w:tcPr>
                <w:p>
                  <w:pPr>
                    <w:jc w:val="center"/>
                    <w:rPr>
                      <w:color w:val="auto"/>
                      <w:sz w:val="18"/>
                      <w:szCs w:val="18"/>
                    </w:rPr>
                  </w:pPr>
                  <w:r>
                    <w:rPr>
                      <w:color w:val="auto"/>
                      <w:sz w:val="18"/>
                      <w:szCs w:val="18"/>
                    </w:rPr>
                    <w:t>17</w:t>
                  </w:r>
                </w:p>
              </w:tc>
              <w:tc>
                <w:tcPr>
                  <w:tcW w:w="616" w:type="pct"/>
                  <w:tcBorders>
                    <w:tl2br w:val="nil"/>
                    <w:tr2bl w:val="nil"/>
                  </w:tcBorders>
                  <w:noWrap/>
                  <w:vAlign w:val="center"/>
                </w:tcPr>
                <w:p>
                  <w:pPr>
                    <w:jc w:val="center"/>
                    <w:rPr>
                      <w:color w:val="auto"/>
                      <w:sz w:val="18"/>
                      <w:szCs w:val="18"/>
                    </w:rPr>
                  </w:pPr>
                  <w:r>
                    <w:rPr>
                      <w:color w:val="auto"/>
                      <w:sz w:val="18"/>
                      <w:szCs w:val="18"/>
                    </w:rPr>
                    <w:t>49.84</w:t>
                  </w:r>
                </w:p>
              </w:tc>
              <w:tc>
                <w:tcPr>
                  <w:tcW w:w="759" w:type="pct"/>
                  <w:tcBorders>
                    <w:tl2br w:val="nil"/>
                    <w:tr2bl w:val="nil"/>
                  </w:tcBorders>
                  <w:noWrap/>
                  <w:vAlign w:val="center"/>
                </w:tcPr>
                <w:p>
                  <w:pPr>
                    <w:jc w:val="center"/>
                    <w:rPr>
                      <w:color w:val="auto"/>
                      <w:sz w:val="18"/>
                      <w:szCs w:val="18"/>
                    </w:rPr>
                  </w:pPr>
                  <w:r>
                    <w:rPr>
                      <w:color w:val="auto"/>
                      <w:sz w:val="18"/>
                      <w:szCs w:val="18"/>
                    </w:rPr>
                    <w:t>93.09</w:t>
                  </w:r>
                </w:p>
              </w:tc>
              <w:tc>
                <w:tcPr>
                  <w:tcW w:w="707" w:type="pct"/>
                  <w:tcBorders>
                    <w:tl2br w:val="nil"/>
                    <w:tr2bl w:val="nil"/>
                  </w:tcBorders>
                  <w:noWrap/>
                  <w:vAlign w:val="center"/>
                </w:tcPr>
                <w:p>
                  <w:pPr>
                    <w:jc w:val="center"/>
                    <w:rPr>
                      <w:color w:val="auto"/>
                      <w:sz w:val="18"/>
                      <w:szCs w:val="18"/>
                    </w:rPr>
                  </w:pPr>
                  <w:r>
                    <w:rPr>
                      <w:color w:val="auto"/>
                      <w:sz w:val="18"/>
                      <w:szCs w:val="18"/>
                    </w:rPr>
                    <w:t>23.70</w:t>
                  </w:r>
                </w:p>
              </w:tc>
              <w:tc>
                <w:tcPr>
                  <w:tcW w:w="1049" w:type="pct"/>
                  <w:tcBorders>
                    <w:tl2br w:val="nil"/>
                    <w:tr2bl w:val="nil"/>
                  </w:tcBorders>
                  <w:noWrap/>
                  <w:vAlign w:val="center"/>
                </w:tcPr>
                <w:p>
                  <w:pPr>
                    <w:jc w:val="center"/>
                    <w:rPr>
                      <w:color w:val="auto"/>
                      <w:sz w:val="18"/>
                      <w:szCs w:val="18"/>
                    </w:rPr>
                  </w:pPr>
                </w:p>
              </w:tc>
              <w:tc>
                <w:tcPr>
                  <w:tcW w:w="373"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7</w:t>
                  </w:r>
                </w:p>
              </w:tc>
              <w:tc>
                <w:tcPr>
                  <w:tcW w:w="303" w:type="pct"/>
                  <w:tcBorders>
                    <w:tl2br w:val="nil"/>
                    <w:tr2bl w:val="nil"/>
                  </w:tcBorders>
                  <w:noWrap/>
                  <w:vAlign w:val="center"/>
                </w:tcPr>
                <w:p>
                  <w:pPr>
                    <w:jc w:val="center"/>
                    <w:rPr>
                      <w:color w:val="auto"/>
                      <w:sz w:val="18"/>
                      <w:szCs w:val="18"/>
                    </w:rPr>
                  </w:pPr>
                  <w:r>
                    <w:rPr>
                      <w:color w:val="auto"/>
                      <w:sz w:val="18"/>
                      <w:szCs w:val="18"/>
                    </w:rPr>
                    <w:t>6</w:t>
                  </w:r>
                </w:p>
              </w:tc>
              <w:tc>
                <w:tcPr>
                  <w:tcW w:w="890" w:type="pct"/>
                  <w:tcBorders>
                    <w:tl2br w:val="nil"/>
                    <w:tr2bl w:val="nil"/>
                  </w:tcBorders>
                  <w:noWrap/>
                  <w:vAlign w:val="center"/>
                </w:tcPr>
                <w:p>
                  <w:pPr>
                    <w:jc w:val="center"/>
                    <w:rPr>
                      <w:color w:val="auto"/>
                      <w:sz w:val="18"/>
                      <w:szCs w:val="18"/>
                    </w:rPr>
                  </w:pPr>
                  <w:r>
                    <w:rPr>
                      <w:color w:val="auto"/>
                      <w:sz w:val="18"/>
                      <w:szCs w:val="18"/>
                    </w:rPr>
                    <w:t>8.72</w:t>
                  </w:r>
                </w:p>
              </w:tc>
              <w:tc>
                <w:tcPr>
                  <w:tcW w:w="616" w:type="pct"/>
                  <w:tcBorders>
                    <w:tl2br w:val="nil"/>
                    <w:tr2bl w:val="nil"/>
                  </w:tcBorders>
                  <w:noWrap/>
                  <w:vAlign w:val="center"/>
                </w:tcPr>
                <w:p>
                  <w:pPr>
                    <w:jc w:val="center"/>
                    <w:rPr>
                      <w:color w:val="auto"/>
                      <w:sz w:val="18"/>
                      <w:szCs w:val="18"/>
                    </w:rPr>
                  </w:pPr>
                  <w:r>
                    <w:rPr>
                      <w:color w:val="auto"/>
                      <w:sz w:val="18"/>
                      <w:szCs w:val="18"/>
                    </w:rPr>
                    <w:t>49.53</w:t>
                  </w:r>
                </w:p>
              </w:tc>
              <w:tc>
                <w:tcPr>
                  <w:tcW w:w="759" w:type="pct"/>
                  <w:tcBorders>
                    <w:tl2br w:val="nil"/>
                    <w:tr2bl w:val="nil"/>
                  </w:tcBorders>
                  <w:noWrap/>
                  <w:vAlign w:val="center"/>
                </w:tcPr>
                <w:p>
                  <w:pPr>
                    <w:jc w:val="center"/>
                    <w:rPr>
                      <w:color w:val="auto"/>
                      <w:sz w:val="18"/>
                      <w:szCs w:val="18"/>
                    </w:rPr>
                  </w:pPr>
                  <w:r>
                    <w:rPr>
                      <w:color w:val="auto"/>
                      <w:sz w:val="18"/>
                      <w:szCs w:val="18"/>
                    </w:rPr>
                    <w:t>89.60</w:t>
                  </w:r>
                </w:p>
              </w:tc>
              <w:tc>
                <w:tcPr>
                  <w:tcW w:w="707" w:type="pct"/>
                  <w:tcBorders>
                    <w:tl2br w:val="nil"/>
                    <w:tr2bl w:val="nil"/>
                  </w:tcBorders>
                  <w:noWrap/>
                  <w:vAlign w:val="center"/>
                </w:tcPr>
                <w:p>
                  <w:pPr>
                    <w:jc w:val="center"/>
                    <w:rPr>
                      <w:color w:val="auto"/>
                      <w:sz w:val="18"/>
                      <w:szCs w:val="18"/>
                    </w:rPr>
                  </w:pPr>
                  <w:r>
                    <w:rPr>
                      <w:color w:val="auto"/>
                      <w:sz w:val="18"/>
                      <w:szCs w:val="18"/>
                    </w:rPr>
                    <w:t>21.42</w:t>
                  </w:r>
                </w:p>
              </w:tc>
              <w:tc>
                <w:tcPr>
                  <w:tcW w:w="1049" w:type="pct"/>
                  <w:tcBorders>
                    <w:tl2br w:val="nil"/>
                    <w:tr2bl w:val="nil"/>
                  </w:tcBorders>
                  <w:noWrap/>
                  <w:vAlign w:val="center"/>
                </w:tcPr>
                <w:p>
                  <w:pPr>
                    <w:jc w:val="center"/>
                    <w:rPr>
                      <w:color w:val="auto"/>
                      <w:sz w:val="18"/>
                      <w:szCs w:val="18"/>
                    </w:rPr>
                  </w:pPr>
                </w:p>
              </w:tc>
              <w:tc>
                <w:tcPr>
                  <w:tcW w:w="373"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8</w:t>
                  </w:r>
                </w:p>
              </w:tc>
              <w:tc>
                <w:tcPr>
                  <w:tcW w:w="303" w:type="pct"/>
                  <w:tcBorders>
                    <w:tl2br w:val="nil"/>
                    <w:tr2bl w:val="nil"/>
                  </w:tcBorders>
                  <w:noWrap/>
                  <w:vAlign w:val="center"/>
                </w:tcPr>
                <w:p>
                  <w:pPr>
                    <w:jc w:val="center"/>
                    <w:rPr>
                      <w:color w:val="auto"/>
                      <w:sz w:val="18"/>
                      <w:szCs w:val="18"/>
                    </w:rPr>
                  </w:pPr>
                  <w:r>
                    <w:rPr>
                      <w:color w:val="auto"/>
                      <w:sz w:val="18"/>
                      <w:szCs w:val="18"/>
                    </w:rPr>
                    <w:t>7</w:t>
                  </w:r>
                </w:p>
              </w:tc>
              <w:tc>
                <w:tcPr>
                  <w:tcW w:w="890" w:type="pct"/>
                  <w:tcBorders>
                    <w:tl2br w:val="nil"/>
                    <w:tr2bl w:val="nil"/>
                  </w:tcBorders>
                  <w:noWrap/>
                  <w:vAlign w:val="center"/>
                </w:tcPr>
                <w:p>
                  <w:pPr>
                    <w:jc w:val="center"/>
                    <w:rPr>
                      <w:color w:val="auto"/>
                      <w:sz w:val="18"/>
                      <w:szCs w:val="18"/>
                    </w:rPr>
                  </w:pPr>
                  <w:r>
                    <w:rPr>
                      <w:color w:val="auto"/>
                      <w:sz w:val="18"/>
                      <w:szCs w:val="18"/>
                    </w:rPr>
                    <w:t>4.36</w:t>
                  </w:r>
                </w:p>
              </w:tc>
              <w:tc>
                <w:tcPr>
                  <w:tcW w:w="616" w:type="pct"/>
                  <w:tcBorders>
                    <w:tl2br w:val="nil"/>
                    <w:tr2bl w:val="nil"/>
                  </w:tcBorders>
                  <w:noWrap/>
                  <w:vAlign w:val="center"/>
                </w:tcPr>
                <w:p>
                  <w:pPr>
                    <w:jc w:val="center"/>
                    <w:rPr>
                      <w:color w:val="auto"/>
                      <w:sz w:val="18"/>
                      <w:szCs w:val="18"/>
                    </w:rPr>
                  </w:pPr>
                  <w:r>
                    <w:rPr>
                      <w:color w:val="auto"/>
                      <w:sz w:val="18"/>
                      <w:szCs w:val="18"/>
                    </w:rPr>
                    <w:t>49.12</w:t>
                  </w:r>
                </w:p>
              </w:tc>
              <w:tc>
                <w:tcPr>
                  <w:tcW w:w="759" w:type="pct"/>
                  <w:tcBorders>
                    <w:tl2br w:val="nil"/>
                    <w:tr2bl w:val="nil"/>
                  </w:tcBorders>
                  <w:noWrap/>
                  <w:vAlign w:val="center"/>
                </w:tcPr>
                <w:p>
                  <w:pPr>
                    <w:jc w:val="center"/>
                    <w:rPr>
                      <w:color w:val="auto"/>
                      <w:sz w:val="18"/>
                      <w:szCs w:val="18"/>
                    </w:rPr>
                  </w:pPr>
                  <w:r>
                    <w:rPr>
                      <w:color w:val="auto"/>
                      <w:sz w:val="18"/>
                      <w:szCs w:val="18"/>
                    </w:rPr>
                    <w:t>84.81</w:t>
                  </w:r>
                </w:p>
              </w:tc>
              <w:tc>
                <w:tcPr>
                  <w:tcW w:w="707" w:type="pct"/>
                  <w:tcBorders>
                    <w:tl2br w:val="nil"/>
                    <w:tr2bl w:val="nil"/>
                  </w:tcBorders>
                  <w:noWrap/>
                  <w:vAlign w:val="center"/>
                </w:tcPr>
                <w:p>
                  <w:pPr>
                    <w:jc w:val="center"/>
                    <w:rPr>
                      <w:color w:val="auto"/>
                      <w:sz w:val="18"/>
                      <w:szCs w:val="18"/>
                    </w:rPr>
                  </w:pPr>
                  <w:r>
                    <w:rPr>
                      <w:color w:val="auto"/>
                      <w:sz w:val="18"/>
                      <w:szCs w:val="18"/>
                    </w:rPr>
                    <w:t>18.29</w:t>
                  </w:r>
                </w:p>
              </w:tc>
              <w:tc>
                <w:tcPr>
                  <w:tcW w:w="1049" w:type="pct"/>
                  <w:tcBorders>
                    <w:tl2br w:val="nil"/>
                    <w:tr2bl w:val="nil"/>
                  </w:tcBorders>
                  <w:noWrap/>
                  <w:vAlign w:val="center"/>
                </w:tcPr>
                <w:p>
                  <w:pPr>
                    <w:jc w:val="center"/>
                    <w:rPr>
                      <w:color w:val="auto"/>
                      <w:sz w:val="18"/>
                      <w:szCs w:val="18"/>
                    </w:rPr>
                  </w:pPr>
                </w:p>
              </w:tc>
              <w:tc>
                <w:tcPr>
                  <w:tcW w:w="373"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9</w:t>
                  </w:r>
                </w:p>
              </w:tc>
              <w:tc>
                <w:tcPr>
                  <w:tcW w:w="303" w:type="pct"/>
                  <w:tcBorders>
                    <w:tl2br w:val="nil"/>
                    <w:tr2bl w:val="nil"/>
                  </w:tcBorders>
                  <w:noWrap/>
                  <w:vAlign w:val="center"/>
                </w:tcPr>
                <w:p>
                  <w:pPr>
                    <w:jc w:val="center"/>
                    <w:rPr>
                      <w:color w:val="auto"/>
                      <w:sz w:val="18"/>
                      <w:szCs w:val="18"/>
                    </w:rPr>
                  </w:pPr>
                  <w:r>
                    <w:rPr>
                      <w:color w:val="auto"/>
                      <w:sz w:val="18"/>
                      <w:szCs w:val="18"/>
                    </w:rPr>
                    <w:t>8</w:t>
                  </w:r>
                </w:p>
              </w:tc>
              <w:tc>
                <w:tcPr>
                  <w:tcW w:w="890" w:type="pct"/>
                  <w:tcBorders>
                    <w:tl2br w:val="nil"/>
                    <w:tr2bl w:val="nil"/>
                  </w:tcBorders>
                  <w:noWrap/>
                  <w:vAlign w:val="center"/>
                </w:tcPr>
                <w:p>
                  <w:pPr>
                    <w:jc w:val="center"/>
                    <w:rPr>
                      <w:color w:val="auto"/>
                      <w:sz w:val="18"/>
                      <w:szCs w:val="18"/>
                    </w:rPr>
                  </w:pPr>
                  <w:r>
                    <w:rPr>
                      <w:color w:val="auto"/>
                      <w:sz w:val="18"/>
                      <w:szCs w:val="18"/>
                    </w:rPr>
                    <w:t>2.18</w:t>
                  </w:r>
                </w:p>
              </w:tc>
              <w:tc>
                <w:tcPr>
                  <w:tcW w:w="616" w:type="pct"/>
                  <w:tcBorders>
                    <w:tl2br w:val="nil"/>
                    <w:tr2bl w:val="nil"/>
                  </w:tcBorders>
                  <w:noWrap/>
                  <w:vAlign w:val="center"/>
                </w:tcPr>
                <w:p>
                  <w:pPr>
                    <w:jc w:val="center"/>
                    <w:rPr>
                      <w:color w:val="auto"/>
                      <w:sz w:val="18"/>
                      <w:szCs w:val="18"/>
                    </w:rPr>
                  </w:pPr>
                  <w:r>
                    <w:rPr>
                      <w:color w:val="auto"/>
                      <w:sz w:val="18"/>
                      <w:szCs w:val="18"/>
                    </w:rPr>
                    <w:t>48.70</w:t>
                  </w:r>
                </w:p>
              </w:tc>
              <w:tc>
                <w:tcPr>
                  <w:tcW w:w="759" w:type="pct"/>
                  <w:tcBorders>
                    <w:tl2br w:val="nil"/>
                    <w:tr2bl w:val="nil"/>
                  </w:tcBorders>
                  <w:noWrap/>
                  <w:vAlign w:val="center"/>
                </w:tcPr>
                <w:p>
                  <w:pPr>
                    <w:jc w:val="center"/>
                    <w:rPr>
                      <w:color w:val="auto"/>
                      <w:sz w:val="18"/>
                      <w:szCs w:val="18"/>
                    </w:rPr>
                  </w:pPr>
                  <w:r>
                    <w:rPr>
                      <w:color w:val="auto"/>
                      <w:sz w:val="18"/>
                      <w:szCs w:val="18"/>
                    </w:rPr>
                    <w:t>79.97</w:t>
                  </w:r>
                </w:p>
              </w:tc>
              <w:tc>
                <w:tcPr>
                  <w:tcW w:w="707" w:type="pct"/>
                  <w:tcBorders>
                    <w:tl2br w:val="nil"/>
                    <w:tr2bl w:val="nil"/>
                  </w:tcBorders>
                  <w:noWrap/>
                  <w:vAlign w:val="center"/>
                </w:tcPr>
                <w:p>
                  <w:pPr>
                    <w:jc w:val="center"/>
                    <w:rPr>
                      <w:color w:val="auto"/>
                      <w:sz w:val="18"/>
                      <w:szCs w:val="18"/>
                    </w:rPr>
                  </w:pPr>
                  <w:r>
                    <w:rPr>
                      <w:color w:val="auto"/>
                      <w:sz w:val="18"/>
                      <w:szCs w:val="18"/>
                    </w:rPr>
                    <w:t>15.12</w:t>
                  </w:r>
                </w:p>
              </w:tc>
              <w:tc>
                <w:tcPr>
                  <w:tcW w:w="1049" w:type="pct"/>
                  <w:tcBorders>
                    <w:tl2br w:val="nil"/>
                    <w:tr2bl w:val="nil"/>
                  </w:tcBorders>
                  <w:noWrap/>
                  <w:vAlign w:val="center"/>
                </w:tcPr>
                <w:p>
                  <w:pPr>
                    <w:jc w:val="center"/>
                    <w:rPr>
                      <w:color w:val="auto"/>
                      <w:sz w:val="18"/>
                      <w:szCs w:val="18"/>
                    </w:rPr>
                  </w:pPr>
                </w:p>
              </w:tc>
              <w:tc>
                <w:tcPr>
                  <w:tcW w:w="373"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10</w:t>
                  </w:r>
                </w:p>
              </w:tc>
              <w:tc>
                <w:tcPr>
                  <w:tcW w:w="303" w:type="pct"/>
                  <w:tcBorders>
                    <w:tl2br w:val="nil"/>
                    <w:tr2bl w:val="nil"/>
                  </w:tcBorders>
                  <w:noWrap/>
                  <w:vAlign w:val="center"/>
                </w:tcPr>
                <w:p>
                  <w:pPr>
                    <w:jc w:val="center"/>
                    <w:rPr>
                      <w:color w:val="auto"/>
                      <w:sz w:val="18"/>
                      <w:szCs w:val="18"/>
                    </w:rPr>
                  </w:pPr>
                  <w:r>
                    <w:rPr>
                      <w:color w:val="auto"/>
                      <w:sz w:val="18"/>
                      <w:szCs w:val="18"/>
                    </w:rPr>
                    <w:t>9</w:t>
                  </w:r>
                </w:p>
              </w:tc>
              <w:tc>
                <w:tcPr>
                  <w:tcW w:w="890" w:type="pct"/>
                  <w:tcBorders>
                    <w:tl2br w:val="nil"/>
                    <w:tr2bl w:val="nil"/>
                  </w:tcBorders>
                  <w:noWrap/>
                  <w:vAlign w:val="center"/>
                </w:tcPr>
                <w:p>
                  <w:pPr>
                    <w:jc w:val="center"/>
                    <w:rPr>
                      <w:color w:val="auto"/>
                      <w:sz w:val="18"/>
                      <w:szCs w:val="18"/>
                    </w:rPr>
                  </w:pPr>
                  <w:r>
                    <w:rPr>
                      <w:color w:val="auto"/>
                      <w:sz w:val="18"/>
                      <w:szCs w:val="18"/>
                    </w:rPr>
                    <w:t>1.02</w:t>
                  </w:r>
                </w:p>
              </w:tc>
              <w:tc>
                <w:tcPr>
                  <w:tcW w:w="616" w:type="pct"/>
                  <w:tcBorders>
                    <w:tl2br w:val="nil"/>
                    <w:tr2bl w:val="nil"/>
                  </w:tcBorders>
                  <w:noWrap/>
                  <w:vAlign w:val="center"/>
                </w:tcPr>
                <w:p>
                  <w:pPr>
                    <w:jc w:val="center"/>
                    <w:rPr>
                      <w:color w:val="auto"/>
                      <w:sz w:val="18"/>
                      <w:szCs w:val="18"/>
                    </w:rPr>
                  </w:pPr>
                  <w:r>
                    <w:rPr>
                      <w:color w:val="auto"/>
                      <w:sz w:val="18"/>
                      <w:szCs w:val="18"/>
                    </w:rPr>
                    <w:t>48.32</w:t>
                  </w:r>
                </w:p>
              </w:tc>
              <w:tc>
                <w:tcPr>
                  <w:tcW w:w="759" w:type="pct"/>
                  <w:tcBorders>
                    <w:tl2br w:val="nil"/>
                    <w:tr2bl w:val="nil"/>
                  </w:tcBorders>
                  <w:noWrap/>
                  <w:vAlign w:val="center"/>
                </w:tcPr>
                <w:p>
                  <w:pPr>
                    <w:jc w:val="center"/>
                    <w:rPr>
                      <w:color w:val="auto"/>
                      <w:sz w:val="18"/>
                      <w:szCs w:val="18"/>
                    </w:rPr>
                  </w:pPr>
                  <w:r>
                    <w:rPr>
                      <w:color w:val="auto"/>
                      <w:sz w:val="18"/>
                      <w:szCs w:val="18"/>
                    </w:rPr>
                    <w:t>75.62</w:t>
                  </w:r>
                </w:p>
              </w:tc>
              <w:tc>
                <w:tcPr>
                  <w:tcW w:w="707" w:type="pct"/>
                  <w:tcBorders>
                    <w:tl2br w:val="nil"/>
                    <w:tr2bl w:val="nil"/>
                  </w:tcBorders>
                  <w:noWrap/>
                  <w:vAlign w:val="center"/>
                </w:tcPr>
                <w:p>
                  <w:pPr>
                    <w:jc w:val="center"/>
                    <w:rPr>
                      <w:color w:val="auto"/>
                      <w:sz w:val="18"/>
                      <w:szCs w:val="18"/>
                    </w:rPr>
                  </w:pPr>
                  <w:r>
                    <w:rPr>
                      <w:color w:val="auto"/>
                      <w:sz w:val="18"/>
                      <w:szCs w:val="18"/>
                    </w:rPr>
                    <w:t>12.28</w:t>
                  </w:r>
                </w:p>
              </w:tc>
              <w:tc>
                <w:tcPr>
                  <w:tcW w:w="1049" w:type="pct"/>
                  <w:tcBorders>
                    <w:tl2br w:val="nil"/>
                    <w:tr2bl w:val="nil"/>
                  </w:tcBorders>
                  <w:noWrap/>
                  <w:vAlign w:val="center"/>
                </w:tcPr>
                <w:p>
                  <w:pPr>
                    <w:jc w:val="center"/>
                    <w:rPr>
                      <w:color w:val="auto"/>
                      <w:sz w:val="18"/>
                      <w:szCs w:val="18"/>
                    </w:rPr>
                  </w:pPr>
                </w:p>
              </w:tc>
              <w:tc>
                <w:tcPr>
                  <w:tcW w:w="373"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11</w:t>
                  </w:r>
                </w:p>
              </w:tc>
              <w:tc>
                <w:tcPr>
                  <w:tcW w:w="303" w:type="pct"/>
                  <w:tcBorders>
                    <w:tl2br w:val="nil"/>
                    <w:tr2bl w:val="nil"/>
                  </w:tcBorders>
                  <w:noWrap/>
                  <w:vAlign w:val="center"/>
                </w:tcPr>
                <w:p>
                  <w:pPr>
                    <w:jc w:val="center"/>
                    <w:rPr>
                      <w:color w:val="auto"/>
                      <w:sz w:val="18"/>
                      <w:szCs w:val="18"/>
                    </w:rPr>
                  </w:pPr>
                  <w:r>
                    <w:rPr>
                      <w:color w:val="auto"/>
                      <w:sz w:val="18"/>
                      <w:szCs w:val="18"/>
                    </w:rPr>
                    <w:t>10</w:t>
                  </w:r>
                </w:p>
              </w:tc>
              <w:tc>
                <w:tcPr>
                  <w:tcW w:w="890" w:type="pct"/>
                  <w:tcBorders>
                    <w:tl2br w:val="nil"/>
                    <w:tr2bl w:val="nil"/>
                  </w:tcBorders>
                  <w:noWrap/>
                  <w:vAlign w:val="center"/>
                </w:tcPr>
                <w:p>
                  <w:pPr>
                    <w:jc w:val="center"/>
                    <w:rPr>
                      <w:color w:val="auto"/>
                      <w:sz w:val="18"/>
                      <w:szCs w:val="18"/>
                    </w:rPr>
                  </w:pPr>
                  <w:r>
                    <w:rPr>
                      <w:color w:val="auto"/>
                      <w:sz w:val="18"/>
                      <w:szCs w:val="18"/>
                    </w:rPr>
                    <w:t>0.401</w:t>
                  </w:r>
                </w:p>
              </w:tc>
              <w:tc>
                <w:tcPr>
                  <w:tcW w:w="616" w:type="pct"/>
                  <w:tcBorders>
                    <w:tl2br w:val="nil"/>
                    <w:tr2bl w:val="nil"/>
                  </w:tcBorders>
                  <w:noWrap/>
                  <w:vAlign w:val="center"/>
                </w:tcPr>
                <w:p>
                  <w:pPr>
                    <w:jc w:val="center"/>
                    <w:rPr>
                      <w:color w:val="auto"/>
                      <w:sz w:val="18"/>
                      <w:szCs w:val="18"/>
                    </w:rPr>
                  </w:pPr>
                  <w:r>
                    <w:rPr>
                      <w:color w:val="auto"/>
                      <w:sz w:val="18"/>
                      <w:szCs w:val="18"/>
                    </w:rPr>
                    <w:t>47.99</w:t>
                  </w:r>
                </w:p>
              </w:tc>
              <w:tc>
                <w:tcPr>
                  <w:tcW w:w="759" w:type="pct"/>
                  <w:tcBorders>
                    <w:tl2br w:val="nil"/>
                    <w:tr2bl w:val="nil"/>
                  </w:tcBorders>
                  <w:noWrap/>
                  <w:vAlign w:val="center"/>
                </w:tcPr>
                <w:p>
                  <w:pPr>
                    <w:jc w:val="center"/>
                    <w:rPr>
                      <w:color w:val="auto"/>
                      <w:sz w:val="18"/>
                      <w:szCs w:val="18"/>
                    </w:rPr>
                  </w:pPr>
                  <w:r>
                    <w:rPr>
                      <w:color w:val="auto"/>
                      <w:sz w:val="18"/>
                      <w:szCs w:val="18"/>
                    </w:rPr>
                    <w:t>71.89</w:t>
                  </w:r>
                </w:p>
              </w:tc>
              <w:tc>
                <w:tcPr>
                  <w:tcW w:w="707" w:type="pct"/>
                  <w:tcBorders>
                    <w:tl2br w:val="nil"/>
                    <w:tr2bl w:val="nil"/>
                  </w:tcBorders>
                  <w:noWrap/>
                  <w:vAlign w:val="center"/>
                </w:tcPr>
                <w:p>
                  <w:pPr>
                    <w:jc w:val="center"/>
                    <w:rPr>
                      <w:color w:val="auto"/>
                      <w:sz w:val="18"/>
                      <w:szCs w:val="18"/>
                    </w:rPr>
                  </w:pPr>
                  <w:r>
                    <w:rPr>
                      <w:color w:val="auto"/>
                      <w:sz w:val="18"/>
                      <w:szCs w:val="18"/>
                    </w:rPr>
                    <w:t>9.86</w:t>
                  </w:r>
                </w:p>
              </w:tc>
              <w:tc>
                <w:tcPr>
                  <w:tcW w:w="1049" w:type="pct"/>
                  <w:tcBorders>
                    <w:tl2br w:val="nil"/>
                    <w:tr2bl w:val="nil"/>
                  </w:tcBorders>
                  <w:noWrap/>
                  <w:vAlign w:val="center"/>
                </w:tcPr>
                <w:p>
                  <w:pPr>
                    <w:jc w:val="center"/>
                    <w:rPr>
                      <w:color w:val="auto"/>
                      <w:sz w:val="18"/>
                      <w:szCs w:val="18"/>
                    </w:rPr>
                  </w:pPr>
                </w:p>
              </w:tc>
              <w:tc>
                <w:tcPr>
                  <w:tcW w:w="373"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12</w:t>
                  </w:r>
                </w:p>
              </w:tc>
              <w:tc>
                <w:tcPr>
                  <w:tcW w:w="303" w:type="pct"/>
                  <w:tcBorders>
                    <w:tl2br w:val="nil"/>
                    <w:tr2bl w:val="nil"/>
                  </w:tcBorders>
                  <w:noWrap/>
                  <w:vAlign w:val="center"/>
                </w:tcPr>
                <w:p>
                  <w:pPr>
                    <w:jc w:val="center"/>
                    <w:rPr>
                      <w:color w:val="auto"/>
                      <w:sz w:val="18"/>
                      <w:szCs w:val="18"/>
                    </w:rPr>
                  </w:pPr>
                  <w:r>
                    <w:rPr>
                      <w:color w:val="auto"/>
                      <w:sz w:val="18"/>
                      <w:szCs w:val="18"/>
                    </w:rPr>
                    <w:t>11</w:t>
                  </w:r>
                </w:p>
              </w:tc>
              <w:tc>
                <w:tcPr>
                  <w:tcW w:w="890" w:type="pct"/>
                  <w:tcBorders>
                    <w:tl2br w:val="nil"/>
                    <w:tr2bl w:val="nil"/>
                  </w:tcBorders>
                  <w:noWrap/>
                  <w:vAlign w:val="center"/>
                </w:tcPr>
                <w:p>
                  <w:pPr>
                    <w:jc w:val="center"/>
                    <w:rPr>
                      <w:color w:val="auto"/>
                      <w:sz w:val="18"/>
                      <w:szCs w:val="18"/>
                    </w:rPr>
                  </w:pPr>
                  <w:r>
                    <w:rPr>
                      <w:color w:val="auto"/>
                      <w:sz w:val="18"/>
                      <w:szCs w:val="18"/>
                    </w:rPr>
                    <w:t>0.222</w:t>
                  </w:r>
                </w:p>
              </w:tc>
              <w:tc>
                <w:tcPr>
                  <w:tcW w:w="616" w:type="pct"/>
                  <w:tcBorders>
                    <w:tl2br w:val="nil"/>
                    <w:tr2bl w:val="nil"/>
                  </w:tcBorders>
                  <w:noWrap/>
                  <w:vAlign w:val="center"/>
                </w:tcPr>
                <w:p>
                  <w:pPr>
                    <w:jc w:val="center"/>
                    <w:rPr>
                      <w:color w:val="auto"/>
                      <w:sz w:val="18"/>
                      <w:szCs w:val="18"/>
                    </w:rPr>
                  </w:pPr>
                  <w:r>
                    <w:rPr>
                      <w:color w:val="auto"/>
                      <w:sz w:val="18"/>
                      <w:szCs w:val="18"/>
                    </w:rPr>
                    <w:t>47.68</w:t>
                  </w:r>
                </w:p>
              </w:tc>
              <w:tc>
                <w:tcPr>
                  <w:tcW w:w="759" w:type="pct"/>
                  <w:tcBorders>
                    <w:tl2br w:val="nil"/>
                    <w:tr2bl w:val="nil"/>
                  </w:tcBorders>
                  <w:noWrap/>
                  <w:vAlign w:val="center"/>
                </w:tcPr>
                <w:p>
                  <w:pPr>
                    <w:jc w:val="center"/>
                    <w:rPr>
                      <w:color w:val="auto"/>
                      <w:sz w:val="18"/>
                      <w:szCs w:val="18"/>
                    </w:rPr>
                  </w:pPr>
                  <w:r>
                    <w:rPr>
                      <w:color w:val="auto"/>
                      <w:sz w:val="18"/>
                      <w:szCs w:val="18"/>
                    </w:rPr>
                    <w:t>68.71</w:t>
                  </w:r>
                </w:p>
              </w:tc>
              <w:tc>
                <w:tcPr>
                  <w:tcW w:w="707" w:type="pct"/>
                  <w:tcBorders>
                    <w:tl2br w:val="nil"/>
                    <w:tr2bl w:val="nil"/>
                  </w:tcBorders>
                  <w:noWrap/>
                  <w:vAlign w:val="center"/>
                </w:tcPr>
                <w:p>
                  <w:pPr>
                    <w:jc w:val="center"/>
                    <w:rPr>
                      <w:color w:val="auto"/>
                      <w:sz w:val="18"/>
                      <w:szCs w:val="18"/>
                    </w:rPr>
                  </w:pPr>
                  <w:r>
                    <w:rPr>
                      <w:color w:val="auto"/>
                      <w:sz w:val="18"/>
                      <w:szCs w:val="18"/>
                    </w:rPr>
                    <w:t>8.40</w:t>
                  </w:r>
                </w:p>
              </w:tc>
              <w:tc>
                <w:tcPr>
                  <w:tcW w:w="1049" w:type="pct"/>
                  <w:tcBorders>
                    <w:tl2br w:val="nil"/>
                    <w:tr2bl w:val="nil"/>
                  </w:tcBorders>
                  <w:noWrap/>
                  <w:vAlign w:val="center"/>
                </w:tcPr>
                <w:p>
                  <w:pPr>
                    <w:jc w:val="center"/>
                    <w:rPr>
                      <w:color w:val="auto"/>
                      <w:sz w:val="18"/>
                      <w:szCs w:val="18"/>
                    </w:rPr>
                  </w:pPr>
                </w:p>
              </w:tc>
              <w:tc>
                <w:tcPr>
                  <w:tcW w:w="373"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13</w:t>
                  </w:r>
                </w:p>
              </w:tc>
              <w:tc>
                <w:tcPr>
                  <w:tcW w:w="303" w:type="pct"/>
                  <w:tcBorders>
                    <w:tl2br w:val="nil"/>
                    <w:tr2bl w:val="nil"/>
                  </w:tcBorders>
                  <w:noWrap/>
                  <w:vAlign w:val="center"/>
                </w:tcPr>
                <w:p>
                  <w:pPr>
                    <w:jc w:val="center"/>
                    <w:rPr>
                      <w:color w:val="auto"/>
                      <w:sz w:val="18"/>
                      <w:szCs w:val="18"/>
                    </w:rPr>
                  </w:pPr>
                  <w:r>
                    <w:rPr>
                      <w:color w:val="auto"/>
                      <w:sz w:val="18"/>
                      <w:szCs w:val="18"/>
                    </w:rPr>
                    <w:t>12</w:t>
                  </w:r>
                </w:p>
              </w:tc>
              <w:tc>
                <w:tcPr>
                  <w:tcW w:w="890" w:type="pct"/>
                  <w:tcBorders>
                    <w:tl2br w:val="nil"/>
                    <w:tr2bl w:val="nil"/>
                  </w:tcBorders>
                  <w:noWrap/>
                  <w:vAlign w:val="center"/>
                </w:tcPr>
                <w:p>
                  <w:pPr>
                    <w:jc w:val="center"/>
                    <w:rPr>
                      <w:color w:val="auto"/>
                      <w:sz w:val="18"/>
                      <w:szCs w:val="18"/>
                    </w:rPr>
                  </w:pPr>
                  <w:r>
                    <w:rPr>
                      <w:color w:val="auto"/>
                      <w:sz w:val="18"/>
                      <w:szCs w:val="18"/>
                    </w:rPr>
                    <w:t>0.09</w:t>
                  </w:r>
                </w:p>
              </w:tc>
              <w:tc>
                <w:tcPr>
                  <w:tcW w:w="616" w:type="pct"/>
                  <w:tcBorders>
                    <w:tl2br w:val="nil"/>
                    <w:tr2bl w:val="nil"/>
                  </w:tcBorders>
                  <w:noWrap/>
                  <w:vAlign w:val="center"/>
                </w:tcPr>
                <w:p>
                  <w:pPr>
                    <w:jc w:val="center"/>
                    <w:rPr>
                      <w:color w:val="auto"/>
                      <w:sz w:val="18"/>
                      <w:szCs w:val="18"/>
                    </w:rPr>
                  </w:pPr>
                  <w:r>
                    <w:rPr>
                      <w:color w:val="auto"/>
                      <w:sz w:val="18"/>
                      <w:szCs w:val="18"/>
                    </w:rPr>
                    <w:t>47.41</w:t>
                  </w:r>
                </w:p>
              </w:tc>
              <w:tc>
                <w:tcPr>
                  <w:tcW w:w="759" w:type="pct"/>
                  <w:tcBorders>
                    <w:tl2br w:val="nil"/>
                    <w:tr2bl w:val="nil"/>
                  </w:tcBorders>
                  <w:noWrap/>
                  <w:vAlign w:val="center"/>
                </w:tcPr>
                <w:p>
                  <w:pPr>
                    <w:jc w:val="center"/>
                    <w:rPr>
                      <w:color w:val="auto"/>
                      <w:sz w:val="18"/>
                      <w:szCs w:val="18"/>
                    </w:rPr>
                  </w:pPr>
                  <w:r>
                    <w:rPr>
                      <w:color w:val="auto"/>
                      <w:sz w:val="18"/>
                      <w:szCs w:val="18"/>
                    </w:rPr>
                    <w:t>65.97</w:t>
                  </w:r>
                </w:p>
              </w:tc>
              <w:tc>
                <w:tcPr>
                  <w:tcW w:w="707" w:type="pct"/>
                  <w:tcBorders>
                    <w:tl2br w:val="nil"/>
                    <w:tr2bl w:val="nil"/>
                  </w:tcBorders>
                  <w:noWrap/>
                  <w:vAlign w:val="center"/>
                </w:tcPr>
                <w:p>
                  <w:pPr>
                    <w:jc w:val="center"/>
                    <w:rPr>
                      <w:color w:val="auto"/>
                      <w:sz w:val="18"/>
                      <w:szCs w:val="18"/>
                    </w:rPr>
                  </w:pPr>
                  <w:r>
                    <w:rPr>
                      <w:color w:val="auto"/>
                      <w:sz w:val="18"/>
                      <w:szCs w:val="18"/>
                    </w:rPr>
                    <w:t>7.15</w:t>
                  </w:r>
                </w:p>
              </w:tc>
              <w:tc>
                <w:tcPr>
                  <w:tcW w:w="1049" w:type="pct"/>
                  <w:tcBorders>
                    <w:tl2br w:val="nil"/>
                    <w:tr2bl w:val="nil"/>
                  </w:tcBorders>
                  <w:noWrap/>
                  <w:vAlign w:val="center"/>
                </w:tcPr>
                <w:p>
                  <w:pPr>
                    <w:jc w:val="center"/>
                    <w:rPr>
                      <w:color w:val="auto"/>
                      <w:sz w:val="18"/>
                      <w:szCs w:val="18"/>
                    </w:rPr>
                  </w:pPr>
                </w:p>
              </w:tc>
              <w:tc>
                <w:tcPr>
                  <w:tcW w:w="373"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tcBorders>
                    <w:tl2br w:val="nil"/>
                    <w:tr2bl w:val="nil"/>
                  </w:tcBorders>
                  <w:noWrap/>
                  <w:vAlign w:val="center"/>
                </w:tcPr>
                <w:p>
                  <w:pPr>
                    <w:jc w:val="center"/>
                    <w:rPr>
                      <w:color w:val="auto"/>
                      <w:sz w:val="18"/>
                      <w:szCs w:val="18"/>
                    </w:rPr>
                  </w:pPr>
                  <w:r>
                    <w:rPr>
                      <w:color w:val="auto"/>
                      <w:sz w:val="18"/>
                      <w:szCs w:val="18"/>
                    </w:rPr>
                    <w:t>14</w:t>
                  </w:r>
                </w:p>
              </w:tc>
              <w:tc>
                <w:tcPr>
                  <w:tcW w:w="303" w:type="pct"/>
                  <w:tcBorders>
                    <w:tl2br w:val="nil"/>
                    <w:tr2bl w:val="nil"/>
                  </w:tcBorders>
                  <w:noWrap/>
                  <w:vAlign w:val="center"/>
                </w:tcPr>
                <w:p>
                  <w:pPr>
                    <w:jc w:val="center"/>
                    <w:rPr>
                      <w:color w:val="auto"/>
                      <w:sz w:val="18"/>
                      <w:szCs w:val="18"/>
                    </w:rPr>
                  </w:pPr>
                  <w:r>
                    <w:rPr>
                      <w:color w:val="auto"/>
                      <w:sz w:val="18"/>
                      <w:szCs w:val="18"/>
                    </w:rPr>
                    <w:t>13</w:t>
                  </w:r>
                </w:p>
              </w:tc>
              <w:tc>
                <w:tcPr>
                  <w:tcW w:w="890" w:type="pct"/>
                  <w:tcBorders>
                    <w:tl2br w:val="nil"/>
                    <w:tr2bl w:val="nil"/>
                  </w:tcBorders>
                  <w:noWrap/>
                  <w:vAlign w:val="center"/>
                </w:tcPr>
                <w:p>
                  <w:pPr>
                    <w:jc w:val="center"/>
                    <w:rPr>
                      <w:color w:val="auto"/>
                      <w:sz w:val="18"/>
                      <w:szCs w:val="18"/>
                    </w:rPr>
                  </w:pPr>
                  <w:r>
                    <w:rPr>
                      <w:color w:val="auto"/>
                      <w:sz w:val="18"/>
                      <w:szCs w:val="18"/>
                    </w:rPr>
                    <w:t>0</w:t>
                  </w:r>
                </w:p>
              </w:tc>
              <w:tc>
                <w:tcPr>
                  <w:tcW w:w="616" w:type="pct"/>
                  <w:tcBorders>
                    <w:tl2br w:val="nil"/>
                    <w:tr2bl w:val="nil"/>
                  </w:tcBorders>
                  <w:noWrap/>
                  <w:vAlign w:val="center"/>
                </w:tcPr>
                <w:p>
                  <w:pPr>
                    <w:jc w:val="center"/>
                    <w:rPr>
                      <w:color w:val="auto"/>
                      <w:sz w:val="18"/>
                      <w:szCs w:val="18"/>
                    </w:rPr>
                  </w:pPr>
                  <w:r>
                    <w:rPr>
                      <w:color w:val="auto"/>
                      <w:sz w:val="18"/>
                      <w:szCs w:val="18"/>
                    </w:rPr>
                    <w:t>47.18</w:t>
                  </w:r>
                </w:p>
              </w:tc>
              <w:tc>
                <w:tcPr>
                  <w:tcW w:w="759" w:type="pct"/>
                  <w:tcBorders>
                    <w:tl2br w:val="nil"/>
                    <w:tr2bl w:val="nil"/>
                  </w:tcBorders>
                  <w:noWrap/>
                  <w:vAlign w:val="center"/>
                </w:tcPr>
                <w:p>
                  <w:pPr>
                    <w:jc w:val="center"/>
                    <w:rPr>
                      <w:color w:val="auto"/>
                      <w:sz w:val="18"/>
                      <w:szCs w:val="18"/>
                    </w:rPr>
                  </w:pPr>
                  <w:r>
                    <w:rPr>
                      <w:color w:val="auto"/>
                      <w:sz w:val="18"/>
                      <w:szCs w:val="18"/>
                    </w:rPr>
                    <w:t>63.61</w:t>
                  </w:r>
                </w:p>
              </w:tc>
              <w:tc>
                <w:tcPr>
                  <w:tcW w:w="707" w:type="pct"/>
                  <w:tcBorders>
                    <w:tl2br w:val="nil"/>
                    <w:tr2bl w:val="nil"/>
                  </w:tcBorders>
                  <w:noWrap/>
                  <w:vAlign w:val="center"/>
                </w:tcPr>
                <w:p>
                  <w:pPr>
                    <w:jc w:val="center"/>
                    <w:rPr>
                      <w:color w:val="auto"/>
                      <w:sz w:val="18"/>
                      <w:szCs w:val="18"/>
                    </w:rPr>
                  </w:pPr>
                  <w:r>
                    <w:rPr>
                      <w:color w:val="auto"/>
                      <w:sz w:val="18"/>
                      <w:szCs w:val="18"/>
                    </w:rPr>
                    <w:t>6.07</w:t>
                  </w:r>
                </w:p>
              </w:tc>
              <w:tc>
                <w:tcPr>
                  <w:tcW w:w="1049" w:type="pct"/>
                  <w:tcBorders>
                    <w:tl2br w:val="nil"/>
                    <w:tr2bl w:val="nil"/>
                  </w:tcBorders>
                  <w:noWrap/>
                  <w:vAlign w:val="center"/>
                </w:tcPr>
                <w:p>
                  <w:pPr>
                    <w:jc w:val="center"/>
                    <w:rPr>
                      <w:color w:val="auto"/>
                      <w:sz w:val="18"/>
                      <w:szCs w:val="18"/>
                    </w:rPr>
                  </w:pPr>
                </w:p>
              </w:tc>
              <w:tc>
                <w:tcPr>
                  <w:tcW w:w="373" w:type="pct"/>
                  <w:tcBorders>
                    <w:tl2br w:val="nil"/>
                    <w:tr2bl w:val="nil"/>
                  </w:tcBorders>
                  <w:noWrap/>
                  <w:vAlign w:val="center"/>
                </w:tcPr>
                <w:p>
                  <w:pPr>
                    <w:jc w:val="center"/>
                    <w:rPr>
                      <w:color w:val="auto"/>
                      <w:sz w:val="18"/>
                      <w:szCs w:val="18"/>
                    </w:rPr>
                  </w:pPr>
                </w:p>
              </w:tc>
            </w:tr>
          </w:tbl>
          <w:p>
            <w:pPr>
              <w:spacing w:before="72" w:beforeLines="30"/>
              <w:ind w:firstLine="482"/>
              <w:rPr>
                <w:b/>
                <w:color w:val="auto"/>
                <w:sz w:val="24"/>
              </w:rPr>
            </w:pPr>
            <w:r>
              <w:rPr>
                <w:b/>
                <w:color w:val="auto"/>
                <w:sz w:val="24"/>
              </w:rPr>
              <w:t>表2-16              P=1.0%调洪演算成果</w:t>
            </w:r>
          </w:p>
          <w:tbl>
            <w:tblPr>
              <w:tblStyle w:val="19"/>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2"/>
              <w:gridCol w:w="521"/>
              <w:gridCol w:w="1533"/>
              <w:gridCol w:w="1062"/>
              <w:gridCol w:w="1310"/>
              <w:gridCol w:w="1221"/>
              <w:gridCol w:w="1538"/>
              <w:gridCol w:w="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93" w:type="pct"/>
                  <w:gridSpan w:val="6"/>
                  <w:tcBorders>
                    <w:tl2br w:val="nil"/>
                    <w:tr2bl w:val="nil"/>
                  </w:tcBorders>
                  <w:noWrap/>
                  <w:vAlign w:val="center"/>
                </w:tcPr>
                <w:p>
                  <w:pPr>
                    <w:jc w:val="center"/>
                    <w:rPr>
                      <w:b/>
                      <w:bCs/>
                      <w:color w:val="auto"/>
                      <w:sz w:val="18"/>
                      <w:szCs w:val="18"/>
                    </w:rPr>
                  </w:pPr>
                  <w:r>
                    <w:rPr>
                      <w:b/>
                      <w:bCs/>
                      <w:color w:val="auto"/>
                      <w:sz w:val="18"/>
                      <w:szCs w:val="18"/>
                    </w:rPr>
                    <w:t>入库洪水～泄流量关系</w:t>
                  </w:r>
                </w:p>
              </w:tc>
              <w:tc>
                <w:tcPr>
                  <w:tcW w:w="921" w:type="pct"/>
                  <w:tcBorders>
                    <w:tl2br w:val="nil"/>
                    <w:tr2bl w:val="nil"/>
                  </w:tcBorders>
                  <w:noWrap/>
                  <w:vAlign w:val="center"/>
                </w:tcPr>
                <w:p>
                  <w:pPr>
                    <w:jc w:val="center"/>
                    <w:rPr>
                      <w:b/>
                      <w:bCs/>
                      <w:color w:val="auto"/>
                      <w:sz w:val="18"/>
                      <w:szCs w:val="18"/>
                    </w:rPr>
                  </w:pPr>
                </w:p>
              </w:tc>
              <w:tc>
                <w:tcPr>
                  <w:tcW w:w="386" w:type="pct"/>
                  <w:tcBorders>
                    <w:tl2br w:val="nil"/>
                    <w:tr2bl w:val="nil"/>
                  </w:tcBorders>
                  <w:noWrap/>
                  <w:vAlign w:val="center"/>
                </w:tcPr>
                <w:p>
                  <w:pPr>
                    <w:jc w:val="center"/>
                    <w:rPr>
                      <w:b/>
                      <w:bCs/>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b/>
                      <w:bCs/>
                      <w:color w:val="auto"/>
                      <w:sz w:val="18"/>
                      <w:szCs w:val="18"/>
                    </w:rPr>
                  </w:pPr>
                  <w:r>
                    <w:rPr>
                      <w:b/>
                      <w:bCs/>
                      <w:color w:val="auto"/>
                      <w:sz w:val="18"/>
                      <w:szCs w:val="18"/>
                    </w:rPr>
                    <w:t>序号</w:t>
                  </w:r>
                </w:p>
              </w:tc>
              <w:tc>
                <w:tcPr>
                  <w:tcW w:w="312" w:type="pct"/>
                  <w:tcBorders>
                    <w:tl2br w:val="nil"/>
                    <w:tr2bl w:val="nil"/>
                  </w:tcBorders>
                  <w:noWrap/>
                  <w:vAlign w:val="center"/>
                </w:tcPr>
                <w:p>
                  <w:pPr>
                    <w:jc w:val="center"/>
                    <w:rPr>
                      <w:b/>
                      <w:bCs/>
                      <w:color w:val="auto"/>
                      <w:sz w:val="18"/>
                      <w:szCs w:val="18"/>
                    </w:rPr>
                  </w:pPr>
                  <w:r>
                    <w:rPr>
                      <w:b/>
                      <w:bCs/>
                      <w:color w:val="auto"/>
                      <w:sz w:val="18"/>
                      <w:szCs w:val="18"/>
                    </w:rPr>
                    <w:t>时段</w:t>
                  </w:r>
                </w:p>
              </w:tc>
              <w:tc>
                <w:tcPr>
                  <w:tcW w:w="918" w:type="pct"/>
                  <w:tcBorders>
                    <w:tl2br w:val="nil"/>
                    <w:tr2bl w:val="nil"/>
                  </w:tcBorders>
                  <w:noWrap/>
                  <w:vAlign w:val="center"/>
                </w:tcPr>
                <w:p>
                  <w:pPr>
                    <w:jc w:val="center"/>
                    <w:rPr>
                      <w:b/>
                      <w:bCs/>
                      <w:color w:val="auto"/>
                      <w:sz w:val="18"/>
                      <w:szCs w:val="18"/>
                    </w:rPr>
                  </w:pPr>
                  <w:r>
                    <w:rPr>
                      <w:b/>
                      <w:bCs/>
                      <w:color w:val="auto"/>
                      <w:sz w:val="18"/>
                      <w:szCs w:val="18"/>
                    </w:rPr>
                    <w:t>入库洪水流量</w:t>
                  </w:r>
                </w:p>
                <w:p>
                  <w:pPr>
                    <w:jc w:val="center"/>
                    <w:rPr>
                      <w:b/>
                      <w:bCs/>
                      <w:color w:val="auto"/>
                      <w:sz w:val="18"/>
                      <w:szCs w:val="18"/>
                    </w:rPr>
                  </w:pPr>
                  <w:r>
                    <w:rPr>
                      <w:b/>
                      <w:bCs/>
                      <w:color w:val="auto"/>
                      <w:sz w:val="18"/>
                      <w:szCs w:val="18"/>
                    </w:rPr>
                    <w:t>(m3/s)</w:t>
                  </w:r>
                </w:p>
              </w:tc>
              <w:tc>
                <w:tcPr>
                  <w:tcW w:w="636" w:type="pct"/>
                  <w:tcBorders>
                    <w:tl2br w:val="nil"/>
                    <w:tr2bl w:val="nil"/>
                  </w:tcBorders>
                  <w:noWrap/>
                  <w:vAlign w:val="center"/>
                </w:tcPr>
                <w:p>
                  <w:pPr>
                    <w:jc w:val="center"/>
                    <w:rPr>
                      <w:b/>
                      <w:bCs/>
                      <w:color w:val="auto"/>
                      <w:sz w:val="18"/>
                      <w:szCs w:val="18"/>
                    </w:rPr>
                  </w:pPr>
                  <w:r>
                    <w:rPr>
                      <w:b/>
                      <w:bCs/>
                      <w:color w:val="auto"/>
                      <w:sz w:val="18"/>
                      <w:szCs w:val="18"/>
                    </w:rPr>
                    <w:t>水库水位</w:t>
                  </w:r>
                </w:p>
                <w:p>
                  <w:pPr>
                    <w:jc w:val="center"/>
                    <w:rPr>
                      <w:b/>
                      <w:bCs/>
                      <w:color w:val="auto"/>
                      <w:sz w:val="18"/>
                      <w:szCs w:val="18"/>
                    </w:rPr>
                  </w:pPr>
                  <w:r>
                    <w:rPr>
                      <w:b/>
                      <w:bCs/>
                      <w:color w:val="auto"/>
                      <w:sz w:val="18"/>
                      <w:szCs w:val="18"/>
                    </w:rPr>
                    <w:t>(m)</w:t>
                  </w:r>
                </w:p>
              </w:tc>
              <w:tc>
                <w:tcPr>
                  <w:tcW w:w="784" w:type="pct"/>
                  <w:tcBorders>
                    <w:tl2br w:val="nil"/>
                    <w:tr2bl w:val="nil"/>
                  </w:tcBorders>
                  <w:noWrap/>
                  <w:vAlign w:val="center"/>
                </w:tcPr>
                <w:p>
                  <w:pPr>
                    <w:jc w:val="center"/>
                    <w:rPr>
                      <w:b/>
                      <w:bCs/>
                      <w:color w:val="auto"/>
                      <w:sz w:val="18"/>
                      <w:szCs w:val="18"/>
                    </w:rPr>
                  </w:pPr>
                  <w:r>
                    <w:rPr>
                      <w:b/>
                      <w:bCs/>
                      <w:color w:val="auto"/>
                      <w:sz w:val="18"/>
                      <w:szCs w:val="18"/>
                    </w:rPr>
                    <w:t>水库库容</w:t>
                  </w:r>
                </w:p>
                <w:p>
                  <w:pPr>
                    <w:jc w:val="center"/>
                    <w:rPr>
                      <w:b/>
                      <w:bCs/>
                      <w:color w:val="auto"/>
                      <w:sz w:val="18"/>
                      <w:szCs w:val="18"/>
                    </w:rPr>
                  </w:pPr>
                  <w:r>
                    <w:rPr>
                      <w:b/>
                      <w:bCs/>
                      <w:color w:val="auto"/>
                      <w:sz w:val="18"/>
                      <w:szCs w:val="18"/>
                    </w:rPr>
                    <w:t>(万m3)</w:t>
                  </w:r>
                </w:p>
              </w:tc>
              <w:tc>
                <w:tcPr>
                  <w:tcW w:w="730" w:type="pct"/>
                  <w:tcBorders>
                    <w:tl2br w:val="nil"/>
                    <w:tr2bl w:val="nil"/>
                  </w:tcBorders>
                  <w:noWrap/>
                  <w:vAlign w:val="center"/>
                </w:tcPr>
                <w:p>
                  <w:pPr>
                    <w:jc w:val="center"/>
                    <w:rPr>
                      <w:b/>
                      <w:bCs/>
                      <w:color w:val="auto"/>
                      <w:sz w:val="18"/>
                      <w:szCs w:val="18"/>
                    </w:rPr>
                  </w:pPr>
                  <w:r>
                    <w:rPr>
                      <w:b/>
                      <w:bCs/>
                      <w:color w:val="auto"/>
                      <w:sz w:val="18"/>
                      <w:szCs w:val="18"/>
                    </w:rPr>
                    <w:t>下泄流量</w:t>
                  </w:r>
                </w:p>
                <w:p>
                  <w:pPr>
                    <w:jc w:val="center"/>
                    <w:rPr>
                      <w:b/>
                      <w:bCs/>
                      <w:color w:val="auto"/>
                      <w:sz w:val="18"/>
                      <w:szCs w:val="18"/>
                    </w:rPr>
                  </w:pPr>
                  <w:r>
                    <w:rPr>
                      <w:b/>
                      <w:bCs/>
                      <w:color w:val="auto"/>
                      <w:sz w:val="18"/>
                      <w:szCs w:val="18"/>
                    </w:rPr>
                    <w:t>(m3/s)</w:t>
                  </w:r>
                </w:p>
              </w:tc>
              <w:tc>
                <w:tcPr>
                  <w:tcW w:w="921" w:type="pct"/>
                  <w:tcBorders>
                    <w:tl2br w:val="nil"/>
                    <w:tr2bl w:val="nil"/>
                  </w:tcBorders>
                  <w:noWrap/>
                  <w:vAlign w:val="center"/>
                </w:tcPr>
                <w:p>
                  <w:pPr>
                    <w:jc w:val="center"/>
                    <w:rPr>
                      <w:b/>
                      <w:bCs/>
                      <w:color w:val="auto"/>
                      <w:sz w:val="18"/>
                      <w:szCs w:val="18"/>
                    </w:rPr>
                  </w:pPr>
                  <w:r>
                    <w:rPr>
                      <w:b/>
                      <w:bCs/>
                      <w:color w:val="auto"/>
                      <w:sz w:val="18"/>
                      <w:szCs w:val="18"/>
                    </w:rPr>
                    <w:t>洪水时段(h)</w:t>
                  </w:r>
                </w:p>
              </w:tc>
              <w:tc>
                <w:tcPr>
                  <w:tcW w:w="386" w:type="pct"/>
                  <w:tcBorders>
                    <w:tl2br w:val="nil"/>
                    <w:tr2bl w:val="nil"/>
                  </w:tcBorders>
                  <w:noWrap/>
                  <w:vAlign w:val="center"/>
                </w:tcPr>
                <w:p>
                  <w:pPr>
                    <w:jc w:val="center"/>
                    <w:rPr>
                      <w:b/>
                      <w:bCs/>
                      <w:color w:val="auto"/>
                      <w:sz w:val="18"/>
                      <w:szCs w:val="18"/>
                    </w:rPr>
                  </w:pPr>
                  <w:r>
                    <w:rPr>
                      <w:b/>
                      <w:bCs/>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1</w:t>
                  </w:r>
                </w:p>
              </w:tc>
              <w:tc>
                <w:tcPr>
                  <w:tcW w:w="312" w:type="pct"/>
                  <w:tcBorders>
                    <w:tl2br w:val="nil"/>
                    <w:tr2bl w:val="nil"/>
                  </w:tcBorders>
                  <w:noWrap/>
                  <w:vAlign w:val="center"/>
                </w:tcPr>
                <w:p>
                  <w:pPr>
                    <w:jc w:val="center"/>
                    <w:rPr>
                      <w:color w:val="auto"/>
                      <w:sz w:val="18"/>
                      <w:szCs w:val="18"/>
                    </w:rPr>
                  </w:pPr>
                  <w:r>
                    <w:rPr>
                      <w:color w:val="auto"/>
                      <w:sz w:val="18"/>
                      <w:szCs w:val="18"/>
                    </w:rPr>
                    <w:t>0</w:t>
                  </w:r>
                </w:p>
              </w:tc>
              <w:tc>
                <w:tcPr>
                  <w:tcW w:w="918" w:type="pct"/>
                  <w:tcBorders>
                    <w:tl2br w:val="nil"/>
                    <w:tr2bl w:val="nil"/>
                  </w:tcBorders>
                  <w:noWrap/>
                  <w:vAlign w:val="center"/>
                </w:tcPr>
                <w:p>
                  <w:pPr>
                    <w:jc w:val="center"/>
                    <w:rPr>
                      <w:color w:val="auto"/>
                      <w:sz w:val="18"/>
                      <w:szCs w:val="18"/>
                    </w:rPr>
                  </w:pPr>
                  <w:r>
                    <w:rPr>
                      <w:color w:val="auto"/>
                      <w:sz w:val="18"/>
                      <w:szCs w:val="18"/>
                    </w:rPr>
                    <w:t>0</w:t>
                  </w:r>
                </w:p>
              </w:tc>
              <w:tc>
                <w:tcPr>
                  <w:tcW w:w="636" w:type="pct"/>
                  <w:tcBorders>
                    <w:tl2br w:val="nil"/>
                    <w:tr2bl w:val="nil"/>
                  </w:tcBorders>
                  <w:noWrap/>
                  <w:vAlign w:val="center"/>
                </w:tcPr>
                <w:p>
                  <w:pPr>
                    <w:jc w:val="center"/>
                    <w:rPr>
                      <w:color w:val="auto"/>
                      <w:sz w:val="18"/>
                      <w:szCs w:val="18"/>
                    </w:rPr>
                  </w:pPr>
                  <w:r>
                    <w:rPr>
                      <w:color w:val="auto"/>
                      <w:sz w:val="18"/>
                      <w:szCs w:val="18"/>
                    </w:rPr>
                    <w:t>45.65</w:t>
                  </w:r>
                </w:p>
              </w:tc>
              <w:tc>
                <w:tcPr>
                  <w:tcW w:w="784" w:type="pct"/>
                  <w:tcBorders>
                    <w:tl2br w:val="nil"/>
                    <w:tr2bl w:val="nil"/>
                  </w:tcBorders>
                  <w:noWrap/>
                  <w:vAlign w:val="center"/>
                </w:tcPr>
                <w:p>
                  <w:pPr>
                    <w:jc w:val="center"/>
                    <w:rPr>
                      <w:color w:val="auto"/>
                      <w:sz w:val="18"/>
                      <w:szCs w:val="18"/>
                    </w:rPr>
                  </w:pPr>
                  <w:r>
                    <w:rPr>
                      <w:color w:val="auto"/>
                      <w:sz w:val="18"/>
                      <w:szCs w:val="18"/>
                    </w:rPr>
                    <w:t>45.24</w:t>
                  </w:r>
                </w:p>
              </w:tc>
              <w:tc>
                <w:tcPr>
                  <w:tcW w:w="730" w:type="pct"/>
                  <w:tcBorders>
                    <w:tl2br w:val="nil"/>
                    <w:tr2bl w:val="nil"/>
                  </w:tcBorders>
                  <w:noWrap/>
                  <w:vAlign w:val="center"/>
                </w:tcPr>
                <w:p>
                  <w:pPr>
                    <w:jc w:val="center"/>
                    <w:rPr>
                      <w:color w:val="auto"/>
                      <w:sz w:val="18"/>
                      <w:szCs w:val="18"/>
                    </w:rPr>
                  </w:pPr>
                  <w:r>
                    <w:rPr>
                      <w:color w:val="auto"/>
                      <w:sz w:val="18"/>
                      <w:szCs w:val="18"/>
                    </w:rPr>
                    <w:t>0.00</w:t>
                  </w:r>
                </w:p>
              </w:tc>
              <w:tc>
                <w:tcPr>
                  <w:tcW w:w="921" w:type="pct"/>
                  <w:tcBorders>
                    <w:tl2br w:val="nil"/>
                    <w:tr2bl w:val="nil"/>
                  </w:tcBorders>
                  <w:noWrap/>
                  <w:vAlign w:val="center"/>
                </w:tcPr>
                <w:p>
                  <w:pPr>
                    <w:jc w:val="center"/>
                    <w:rPr>
                      <w:color w:val="auto"/>
                      <w:sz w:val="18"/>
                      <w:szCs w:val="18"/>
                    </w:rPr>
                  </w:pPr>
                  <w:r>
                    <w:rPr>
                      <w:color w:val="auto"/>
                      <w:sz w:val="18"/>
                      <w:szCs w:val="18"/>
                    </w:rPr>
                    <w:t>起调水位(m)</w:t>
                  </w:r>
                </w:p>
              </w:tc>
              <w:tc>
                <w:tcPr>
                  <w:tcW w:w="386" w:type="pct"/>
                  <w:tcBorders>
                    <w:tl2br w:val="nil"/>
                    <w:tr2bl w:val="nil"/>
                  </w:tcBorders>
                  <w:noWrap/>
                  <w:vAlign w:val="center"/>
                </w:tcPr>
                <w:p>
                  <w:pPr>
                    <w:jc w:val="center"/>
                    <w:rPr>
                      <w:color w:val="auto"/>
                      <w:sz w:val="18"/>
                      <w:szCs w:val="18"/>
                    </w:rPr>
                  </w:pPr>
                  <w:r>
                    <w:rPr>
                      <w:color w:val="auto"/>
                      <w:sz w:val="18"/>
                      <w:szCs w:val="18"/>
                    </w:rPr>
                    <w:t>45.65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2</w:t>
                  </w:r>
                </w:p>
              </w:tc>
              <w:tc>
                <w:tcPr>
                  <w:tcW w:w="312" w:type="pct"/>
                  <w:tcBorders>
                    <w:tl2br w:val="nil"/>
                    <w:tr2bl w:val="nil"/>
                  </w:tcBorders>
                  <w:noWrap/>
                  <w:vAlign w:val="center"/>
                </w:tcPr>
                <w:p>
                  <w:pPr>
                    <w:jc w:val="center"/>
                    <w:rPr>
                      <w:color w:val="auto"/>
                      <w:sz w:val="18"/>
                      <w:szCs w:val="18"/>
                    </w:rPr>
                  </w:pPr>
                  <w:r>
                    <w:rPr>
                      <w:color w:val="auto"/>
                      <w:sz w:val="18"/>
                      <w:szCs w:val="18"/>
                    </w:rPr>
                    <w:t>1</w:t>
                  </w:r>
                </w:p>
              </w:tc>
              <w:tc>
                <w:tcPr>
                  <w:tcW w:w="918" w:type="pct"/>
                  <w:tcBorders>
                    <w:tl2br w:val="nil"/>
                    <w:tr2bl w:val="nil"/>
                  </w:tcBorders>
                  <w:noWrap/>
                  <w:vAlign w:val="center"/>
                </w:tcPr>
                <w:p>
                  <w:pPr>
                    <w:jc w:val="center"/>
                    <w:rPr>
                      <w:color w:val="auto"/>
                      <w:sz w:val="18"/>
                      <w:szCs w:val="18"/>
                    </w:rPr>
                  </w:pPr>
                  <w:r>
                    <w:rPr>
                      <w:color w:val="auto"/>
                      <w:sz w:val="18"/>
                      <w:szCs w:val="18"/>
                    </w:rPr>
                    <w:t>28.7</w:t>
                  </w:r>
                </w:p>
              </w:tc>
              <w:tc>
                <w:tcPr>
                  <w:tcW w:w="636" w:type="pct"/>
                  <w:tcBorders>
                    <w:tl2br w:val="nil"/>
                    <w:tr2bl w:val="nil"/>
                  </w:tcBorders>
                  <w:noWrap/>
                  <w:vAlign w:val="center"/>
                </w:tcPr>
                <w:p>
                  <w:pPr>
                    <w:jc w:val="center"/>
                    <w:rPr>
                      <w:color w:val="auto"/>
                      <w:sz w:val="18"/>
                      <w:szCs w:val="18"/>
                    </w:rPr>
                  </w:pPr>
                  <w:r>
                    <w:rPr>
                      <w:color w:val="auto"/>
                      <w:sz w:val="18"/>
                      <w:szCs w:val="18"/>
                    </w:rPr>
                    <w:t>45.93</w:t>
                  </w:r>
                </w:p>
              </w:tc>
              <w:tc>
                <w:tcPr>
                  <w:tcW w:w="784" w:type="pct"/>
                  <w:tcBorders>
                    <w:tl2br w:val="nil"/>
                    <w:tr2bl w:val="nil"/>
                  </w:tcBorders>
                  <w:noWrap/>
                  <w:vAlign w:val="center"/>
                </w:tcPr>
                <w:p>
                  <w:pPr>
                    <w:jc w:val="center"/>
                    <w:rPr>
                      <w:color w:val="auto"/>
                      <w:sz w:val="18"/>
                      <w:szCs w:val="18"/>
                    </w:rPr>
                  </w:pPr>
                  <w:r>
                    <w:rPr>
                      <w:color w:val="auto"/>
                      <w:sz w:val="18"/>
                      <w:szCs w:val="18"/>
                    </w:rPr>
                    <w:t>50.33</w:t>
                  </w:r>
                </w:p>
              </w:tc>
              <w:tc>
                <w:tcPr>
                  <w:tcW w:w="730" w:type="pct"/>
                  <w:tcBorders>
                    <w:tl2br w:val="nil"/>
                    <w:tr2bl w:val="nil"/>
                  </w:tcBorders>
                  <w:noWrap/>
                  <w:vAlign w:val="center"/>
                </w:tcPr>
                <w:p>
                  <w:pPr>
                    <w:jc w:val="center"/>
                    <w:rPr>
                      <w:color w:val="auto"/>
                      <w:sz w:val="18"/>
                      <w:szCs w:val="18"/>
                    </w:rPr>
                  </w:pPr>
                  <w:r>
                    <w:rPr>
                      <w:color w:val="auto"/>
                      <w:sz w:val="18"/>
                      <w:szCs w:val="18"/>
                    </w:rPr>
                    <w:t>0.46</w:t>
                  </w:r>
                </w:p>
              </w:tc>
              <w:tc>
                <w:tcPr>
                  <w:tcW w:w="921" w:type="pct"/>
                  <w:tcBorders>
                    <w:tl2br w:val="nil"/>
                    <w:tr2bl w:val="nil"/>
                  </w:tcBorders>
                  <w:noWrap/>
                  <w:vAlign w:val="center"/>
                </w:tcPr>
                <w:p>
                  <w:pPr>
                    <w:jc w:val="center"/>
                    <w:rPr>
                      <w:color w:val="auto"/>
                      <w:sz w:val="18"/>
                      <w:szCs w:val="18"/>
                    </w:rPr>
                  </w:pPr>
                  <w:r>
                    <w:rPr>
                      <w:color w:val="auto"/>
                      <w:sz w:val="18"/>
                      <w:szCs w:val="18"/>
                    </w:rPr>
                    <w:t>泥面(库底)高程(m)</w:t>
                  </w:r>
                </w:p>
              </w:tc>
              <w:tc>
                <w:tcPr>
                  <w:tcW w:w="386" w:type="pct"/>
                  <w:tcBorders>
                    <w:tl2br w:val="nil"/>
                    <w:tr2bl w:val="nil"/>
                  </w:tcBorders>
                  <w:noWrap/>
                  <w:vAlign w:val="center"/>
                </w:tcPr>
                <w:p>
                  <w:pPr>
                    <w:jc w:val="center"/>
                    <w:rPr>
                      <w:color w:val="auto"/>
                      <w:sz w:val="18"/>
                      <w:szCs w:val="18"/>
                    </w:rPr>
                  </w:pPr>
                  <w:r>
                    <w:rPr>
                      <w:color w:val="auto"/>
                      <w:sz w:val="18"/>
                      <w:szCs w:val="18"/>
                    </w:rPr>
                    <w:t>42.06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3</w:t>
                  </w:r>
                </w:p>
              </w:tc>
              <w:tc>
                <w:tcPr>
                  <w:tcW w:w="312" w:type="pct"/>
                  <w:tcBorders>
                    <w:tl2br w:val="nil"/>
                    <w:tr2bl w:val="nil"/>
                  </w:tcBorders>
                  <w:noWrap/>
                  <w:vAlign w:val="center"/>
                </w:tcPr>
                <w:p>
                  <w:pPr>
                    <w:jc w:val="center"/>
                    <w:rPr>
                      <w:color w:val="auto"/>
                      <w:sz w:val="18"/>
                      <w:szCs w:val="18"/>
                    </w:rPr>
                  </w:pPr>
                  <w:r>
                    <w:rPr>
                      <w:color w:val="auto"/>
                      <w:sz w:val="18"/>
                      <w:szCs w:val="18"/>
                    </w:rPr>
                    <w:t>2</w:t>
                  </w:r>
                </w:p>
              </w:tc>
              <w:tc>
                <w:tcPr>
                  <w:tcW w:w="918" w:type="pct"/>
                  <w:tcBorders>
                    <w:tl2br w:val="nil"/>
                    <w:tr2bl w:val="nil"/>
                  </w:tcBorders>
                  <w:noWrap/>
                  <w:vAlign w:val="center"/>
                </w:tcPr>
                <w:p>
                  <w:pPr>
                    <w:jc w:val="center"/>
                    <w:rPr>
                      <w:color w:val="auto"/>
                      <w:sz w:val="18"/>
                      <w:szCs w:val="18"/>
                    </w:rPr>
                  </w:pPr>
                  <w:r>
                    <w:rPr>
                      <w:color w:val="auto"/>
                      <w:sz w:val="18"/>
                      <w:szCs w:val="18"/>
                    </w:rPr>
                    <w:t>50</w:t>
                  </w:r>
                </w:p>
              </w:tc>
              <w:tc>
                <w:tcPr>
                  <w:tcW w:w="636" w:type="pct"/>
                  <w:tcBorders>
                    <w:tl2br w:val="nil"/>
                    <w:tr2bl w:val="nil"/>
                  </w:tcBorders>
                  <w:noWrap/>
                  <w:vAlign w:val="center"/>
                </w:tcPr>
                <w:p>
                  <w:pPr>
                    <w:jc w:val="center"/>
                    <w:rPr>
                      <w:color w:val="auto"/>
                      <w:sz w:val="18"/>
                      <w:szCs w:val="18"/>
                    </w:rPr>
                  </w:pPr>
                  <w:r>
                    <w:rPr>
                      <w:color w:val="auto"/>
                      <w:sz w:val="18"/>
                      <w:szCs w:val="18"/>
                    </w:rPr>
                    <w:t>47.15</w:t>
                  </w:r>
                </w:p>
              </w:tc>
              <w:tc>
                <w:tcPr>
                  <w:tcW w:w="784" w:type="pct"/>
                  <w:tcBorders>
                    <w:tl2br w:val="nil"/>
                    <w:tr2bl w:val="nil"/>
                  </w:tcBorders>
                  <w:noWrap/>
                  <w:vAlign w:val="center"/>
                </w:tcPr>
                <w:p>
                  <w:pPr>
                    <w:jc w:val="center"/>
                    <w:rPr>
                      <w:color w:val="auto"/>
                      <w:sz w:val="18"/>
                      <w:szCs w:val="18"/>
                    </w:rPr>
                  </w:pPr>
                  <w:r>
                    <w:rPr>
                      <w:color w:val="auto"/>
                      <w:sz w:val="18"/>
                      <w:szCs w:val="18"/>
                    </w:rPr>
                    <w:t>63.34</w:t>
                  </w:r>
                </w:p>
              </w:tc>
              <w:tc>
                <w:tcPr>
                  <w:tcW w:w="730" w:type="pct"/>
                  <w:tcBorders>
                    <w:tl2br w:val="nil"/>
                    <w:tr2bl w:val="nil"/>
                  </w:tcBorders>
                  <w:noWrap/>
                  <w:vAlign w:val="center"/>
                </w:tcPr>
                <w:p>
                  <w:pPr>
                    <w:jc w:val="center"/>
                    <w:rPr>
                      <w:color w:val="auto"/>
                      <w:sz w:val="18"/>
                      <w:szCs w:val="18"/>
                    </w:rPr>
                  </w:pPr>
                  <w:r>
                    <w:rPr>
                      <w:color w:val="auto"/>
                      <w:sz w:val="18"/>
                      <w:szCs w:val="18"/>
                    </w:rPr>
                    <w:t>5.94</w:t>
                  </w:r>
                </w:p>
              </w:tc>
              <w:tc>
                <w:tcPr>
                  <w:tcW w:w="921" w:type="pct"/>
                  <w:tcBorders>
                    <w:tl2br w:val="nil"/>
                    <w:tr2bl w:val="nil"/>
                  </w:tcBorders>
                  <w:noWrap/>
                  <w:vAlign w:val="center"/>
                </w:tcPr>
                <w:p>
                  <w:pPr>
                    <w:jc w:val="center"/>
                    <w:rPr>
                      <w:color w:val="auto"/>
                      <w:sz w:val="18"/>
                      <w:szCs w:val="18"/>
                    </w:rPr>
                  </w:pPr>
                  <w:r>
                    <w:rPr>
                      <w:color w:val="auto"/>
                      <w:sz w:val="18"/>
                      <w:szCs w:val="18"/>
                    </w:rPr>
                    <w:t>历经最高水位(m)</w:t>
                  </w:r>
                </w:p>
              </w:tc>
              <w:tc>
                <w:tcPr>
                  <w:tcW w:w="386" w:type="pct"/>
                  <w:tcBorders>
                    <w:tl2br w:val="nil"/>
                    <w:tr2bl w:val="nil"/>
                  </w:tcBorders>
                  <w:noWrap/>
                  <w:vAlign w:val="center"/>
                </w:tcPr>
                <w:p>
                  <w:pPr>
                    <w:jc w:val="center"/>
                    <w:rPr>
                      <w:color w:val="auto"/>
                      <w:sz w:val="18"/>
                      <w:szCs w:val="18"/>
                    </w:rPr>
                  </w:pPr>
                  <w:r>
                    <w:rPr>
                      <w:color w:val="auto"/>
                      <w:sz w:val="18"/>
                      <w:szCs w:val="18"/>
                    </w:rPr>
                    <w:t>48.95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4</w:t>
                  </w:r>
                </w:p>
              </w:tc>
              <w:tc>
                <w:tcPr>
                  <w:tcW w:w="312" w:type="pct"/>
                  <w:tcBorders>
                    <w:tl2br w:val="nil"/>
                    <w:tr2bl w:val="nil"/>
                  </w:tcBorders>
                  <w:noWrap/>
                  <w:vAlign w:val="center"/>
                </w:tcPr>
                <w:p>
                  <w:pPr>
                    <w:jc w:val="center"/>
                    <w:rPr>
                      <w:color w:val="auto"/>
                      <w:sz w:val="18"/>
                      <w:szCs w:val="18"/>
                    </w:rPr>
                  </w:pPr>
                  <w:r>
                    <w:rPr>
                      <w:color w:val="auto"/>
                      <w:sz w:val="18"/>
                      <w:szCs w:val="18"/>
                    </w:rPr>
                    <w:t>3</w:t>
                  </w:r>
                </w:p>
              </w:tc>
              <w:tc>
                <w:tcPr>
                  <w:tcW w:w="918" w:type="pct"/>
                  <w:tcBorders>
                    <w:tl2br w:val="nil"/>
                    <w:tr2bl w:val="nil"/>
                  </w:tcBorders>
                  <w:noWrap/>
                  <w:vAlign w:val="center"/>
                </w:tcPr>
                <w:p>
                  <w:pPr>
                    <w:jc w:val="center"/>
                    <w:rPr>
                      <w:color w:val="auto"/>
                      <w:sz w:val="18"/>
                      <w:szCs w:val="18"/>
                    </w:rPr>
                  </w:pPr>
                  <w:r>
                    <w:rPr>
                      <w:color w:val="auto"/>
                      <w:sz w:val="18"/>
                      <w:szCs w:val="18"/>
                    </w:rPr>
                    <w:t>39.9</w:t>
                  </w:r>
                </w:p>
              </w:tc>
              <w:tc>
                <w:tcPr>
                  <w:tcW w:w="636" w:type="pct"/>
                  <w:tcBorders>
                    <w:tl2br w:val="nil"/>
                    <w:tr2bl w:val="nil"/>
                  </w:tcBorders>
                  <w:noWrap/>
                  <w:vAlign w:val="center"/>
                </w:tcPr>
                <w:p>
                  <w:pPr>
                    <w:jc w:val="center"/>
                    <w:rPr>
                      <w:color w:val="auto"/>
                      <w:sz w:val="18"/>
                      <w:szCs w:val="18"/>
                    </w:rPr>
                  </w:pPr>
                  <w:r>
                    <w:rPr>
                      <w:color w:val="auto"/>
                      <w:sz w:val="18"/>
                      <w:szCs w:val="18"/>
                    </w:rPr>
                    <w:t>48.37</w:t>
                  </w:r>
                </w:p>
              </w:tc>
              <w:tc>
                <w:tcPr>
                  <w:tcW w:w="784" w:type="pct"/>
                  <w:tcBorders>
                    <w:tl2br w:val="nil"/>
                    <w:tr2bl w:val="nil"/>
                  </w:tcBorders>
                  <w:noWrap/>
                  <w:vAlign w:val="center"/>
                </w:tcPr>
                <w:p>
                  <w:pPr>
                    <w:jc w:val="center"/>
                    <w:rPr>
                      <w:color w:val="auto"/>
                      <w:sz w:val="18"/>
                      <w:szCs w:val="18"/>
                    </w:rPr>
                  </w:pPr>
                  <w:r>
                    <w:rPr>
                      <w:color w:val="auto"/>
                      <w:sz w:val="18"/>
                      <w:szCs w:val="18"/>
                    </w:rPr>
                    <w:t>76.18</w:t>
                  </w:r>
                </w:p>
              </w:tc>
              <w:tc>
                <w:tcPr>
                  <w:tcW w:w="730" w:type="pct"/>
                  <w:tcBorders>
                    <w:tl2br w:val="nil"/>
                    <w:tr2bl w:val="nil"/>
                  </w:tcBorders>
                  <w:noWrap/>
                  <w:vAlign w:val="center"/>
                </w:tcPr>
                <w:p>
                  <w:pPr>
                    <w:jc w:val="center"/>
                    <w:rPr>
                      <w:color w:val="auto"/>
                      <w:sz w:val="18"/>
                      <w:szCs w:val="18"/>
                    </w:rPr>
                  </w:pPr>
                  <w:r>
                    <w:rPr>
                      <w:color w:val="auto"/>
                      <w:sz w:val="18"/>
                      <w:szCs w:val="18"/>
                    </w:rPr>
                    <w:t>12.64</w:t>
                  </w:r>
                </w:p>
              </w:tc>
              <w:tc>
                <w:tcPr>
                  <w:tcW w:w="921" w:type="pct"/>
                  <w:tcBorders>
                    <w:tl2br w:val="nil"/>
                    <w:tr2bl w:val="nil"/>
                  </w:tcBorders>
                  <w:noWrap/>
                  <w:vAlign w:val="center"/>
                </w:tcPr>
                <w:p>
                  <w:pPr>
                    <w:jc w:val="center"/>
                    <w:rPr>
                      <w:color w:val="auto"/>
                      <w:sz w:val="18"/>
                      <w:szCs w:val="18"/>
                    </w:rPr>
                  </w:pPr>
                  <w:r>
                    <w:rPr>
                      <w:color w:val="auto"/>
                      <w:sz w:val="18"/>
                      <w:szCs w:val="18"/>
                    </w:rPr>
                    <w:t>历经最大库容(万m3)</w:t>
                  </w:r>
                </w:p>
              </w:tc>
              <w:tc>
                <w:tcPr>
                  <w:tcW w:w="386" w:type="pct"/>
                  <w:tcBorders>
                    <w:tl2br w:val="nil"/>
                    <w:tr2bl w:val="nil"/>
                  </w:tcBorders>
                  <w:noWrap/>
                  <w:vAlign w:val="center"/>
                </w:tcPr>
                <w:p>
                  <w:pPr>
                    <w:jc w:val="center"/>
                    <w:rPr>
                      <w:color w:val="auto"/>
                      <w:sz w:val="18"/>
                      <w:szCs w:val="18"/>
                    </w:rPr>
                  </w:pPr>
                  <w:r>
                    <w:rPr>
                      <w:color w:val="auto"/>
                      <w:sz w:val="18"/>
                      <w:szCs w:val="18"/>
                    </w:rPr>
                    <w:t>82.86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5</w:t>
                  </w:r>
                </w:p>
              </w:tc>
              <w:tc>
                <w:tcPr>
                  <w:tcW w:w="312" w:type="pct"/>
                  <w:tcBorders>
                    <w:tl2br w:val="nil"/>
                    <w:tr2bl w:val="nil"/>
                  </w:tcBorders>
                  <w:noWrap/>
                  <w:vAlign w:val="center"/>
                </w:tcPr>
                <w:p>
                  <w:pPr>
                    <w:jc w:val="center"/>
                    <w:rPr>
                      <w:color w:val="auto"/>
                      <w:sz w:val="18"/>
                      <w:szCs w:val="18"/>
                    </w:rPr>
                  </w:pPr>
                  <w:r>
                    <w:rPr>
                      <w:color w:val="auto"/>
                      <w:sz w:val="18"/>
                      <w:szCs w:val="18"/>
                    </w:rPr>
                    <w:t>4</w:t>
                  </w:r>
                </w:p>
              </w:tc>
              <w:tc>
                <w:tcPr>
                  <w:tcW w:w="918" w:type="pct"/>
                  <w:tcBorders>
                    <w:tl2br w:val="nil"/>
                    <w:tr2bl w:val="nil"/>
                  </w:tcBorders>
                  <w:noWrap/>
                  <w:vAlign w:val="center"/>
                </w:tcPr>
                <w:p>
                  <w:pPr>
                    <w:jc w:val="center"/>
                    <w:rPr>
                      <w:color w:val="auto"/>
                      <w:sz w:val="18"/>
                      <w:szCs w:val="18"/>
                    </w:rPr>
                  </w:pPr>
                  <w:r>
                    <w:rPr>
                      <w:color w:val="auto"/>
                      <w:sz w:val="18"/>
                      <w:szCs w:val="18"/>
                    </w:rPr>
                    <w:t>23.7</w:t>
                  </w:r>
                </w:p>
              </w:tc>
              <w:tc>
                <w:tcPr>
                  <w:tcW w:w="636" w:type="pct"/>
                  <w:tcBorders>
                    <w:tl2br w:val="nil"/>
                    <w:tr2bl w:val="nil"/>
                  </w:tcBorders>
                  <w:noWrap/>
                  <w:vAlign w:val="center"/>
                </w:tcPr>
                <w:p>
                  <w:pPr>
                    <w:jc w:val="center"/>
                    <w:rPr>
                      <w:color w:val="auto"/>
                      <w:sz w:val="18"/>
                      <w:szCs w:val="18"/>
                    </w:rPr>
                  </w:pPr>
                  <w:r>
                    <w:rPr>
                      <w:color w:val="auto"/>
                      <w:sz w:val="18"/>
                      <w:szCs w:val="18"/>
                    </w:rPr>
                    <w:t>48.90</w:t>
                  </w:r>
                </w:p>
              </w:tc>
              <w:tc>
                <w:tcPr>
                  <w:tcW w:w="784" w:type="pct"/>
                  <w:tcBorders>
                    <w:tl2br w:val="nil"/>
                    <w:tr2bl w:val="nil"/>
                  </w:tcBorders>
                  <w:noWrap/>
                  <w:vAlign w:val="center"/>
                </w:tcPr>
                <w:p>
                  <w:pPr>
                    <w:jc w:val="center"/>
                    <w:rPr>
                      <w:color w:val="auto"/>
                      <w:sz w:val="18"/>
                      <w:szCs w:val="18"/>
                    </w:rPr>
                  </w:pPr>
                  <w:r>
                    <w:rPr>
                      <w:color w:val="auto"/>
                      <w:sz w:val="18"/>
                      <w:szCs w:val="18"/>
                    </w:rPr>
                    <w:t>82.35</w:t>
                  </w:r>
                </w:p>
              </w:tc>
              <w:tc>
                <w:tcPr>
                  <w:tcW w:w="730" w:type="pct"/>
                  <w:tcBorders>
                    <w:tl2br w:val="nil"/>
                    <w:tr2bl w:val="nil"/>
                  </w:tcBorders>
                  <w:noWrap/>
                  <w:vAlign w:val="center"/>
                </w:tcPr>
                <w:p>
                  <w:pPr>
                    <w:jc w:val="center"/>
                    <w:rPr>
                      <w:color w:val="auto"/>
                      <w:sz w:val="18"/>
                      <w:szCs w:val="18"/>
                    </w:rPr>
                  </w:pPr>
                  <w:r>
                    <w:rPr>
                      <w:color w:val="auto"/>
                      <w:sz w:val="18"/>
                      <w:szCs w:val="18"/>
                    </w:rPr>
                    <w:t>16.68</w:t>
                  </w:r>
                </w:p>
              </w:tc>
              <w:tc>
                <w:tcPr>
                  <w:tcW w:w="921" w:type="pct"/>
                  <w:tcBorders>
                    <w:tl2br w:val="nil"/>
                    <w:tr2bl w:val="nil"/>
                  </w:tcBorders>
                  <w:noWrap/>
                  <w:vAlign w:val="center"/>
                </w:tcPr>
                <w:p>
                  <w:pPr>
                    <w:jc w:val="center"/>
                    <w:rPr>
                      <w:color w:val="auto"/>
                      <w:sz w:val="18"/>
                      <w:szCs w:val="18"/>
                    </w:rPr>
                  </w:pPr>
                  <w:r>
                    <w:rPr>
                      <w:color w:val="auto"/>
                      <w:sz w:val="18"/>
                      <w:szCs w:val="18"/>
                    </w:rPr>
                    <w:t>历经最大泄量(m3/s)</w:t>
                  </w:r>
                </w:p>
              </w:tc>
              <w:tc>
                <w:tcPr>
                  <w:tcW w:w="386" w:type="pct"/>
                  <w:tcBorders>
                    <w:tl2br w:val="nil"/>
                    <w:tr2bl w:val="nil"/>
                  </w:tcBorders>
                  <w:noWrap/>
                  <w:vAlign w:val="center"/>
                </w:tcPr>
                <w:p>
                  <w:pPr>
                    <w:jc w:val="center"/>
                    <w:rPr>
                      <w:color w:val="auto"/>
                      <w:sz w:val="18"/>
                      <w:szCs w:val="18"/>
                    </w:rPr>
                  </w:pPr>
                  <w:r>
                    <w:rPr>
                      <w:color w:val="auto"/>
                      <w:sz w:val="18"/>
                      <w:szCs w:val="18"/>
                    </w:rPr>
                    <w:t>17.01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6</w:t>
                  </w:r>
                </w:p>
              </w:tc>
              <w:tc>
                <w:tcPr>
                  <w:tcW w:w="312" w:type="pct"/>
                  <w:tcBorders>
                    <w:tl2br w:val="nil"/>
                    <w:tr2bl w:val="nil"/>
                  </w:tcBorders>
                  <w:noWrap/>
                  <w:vAlign w:val="center"/>
                </w:tcPr>
                <w:p>
                  <w:pPr>
                    <w:jc w:val="center"/>
                    <w:rPr>
                      <w:color w:val="auto"/>
                      <w:sz w:val="18"/>
                      <w:szCs w:val="18"/>
                    </w:rPr>
                  </w:pPr>
                  <w:r>
                    <w:rPr>
                      <w:color w:val="auto"/>
                      <w:sz w:val="18"/>
                      <w:szCs w:val="18"/>
                    </w:rPr>
                    <w:t>5</w:t>
                  </w:r>
                </w:p>
              </w:tc>
              <w:tc>
                <w:tcPr>
                  <w:tcW w:w="918" w:type="pct"/>
                  <w:tcBorders>
                    <w:tl2br w:val="nil"/>
                    <w:tr2bl w:val="nil"/>
                  </w:tcBorders>
                  <w:noWrap/>
                  <w:vAlign w:val="center"/>
                </w:tcPr>
                <w:p>
                  <w:pPr>
                    <w:jc w:val="center"/>
                    <w:rPr>
                      <w:color w:val="auto"/>
                      <w:sz w:val="18"/>
                      <w:szCs w:val="18"/>
                    </w:rPr>
                  </w:pPr>
                  <w:r>
                    <w:rPr>
                      <w:color w:val="auto"/>
                      <w:sz w:val="18"/>
                      <w:szCs w:val="18"/>
                    </w:rPr>
                    <w:t>12.8</w:t>
                  </w:r>
                </w:p>
              </w:tc>
              <w:tc>
                <w:tcPr>
                  <w:tcW w:w="636" w:type="pct"/>
                  <w:tcBorders>
                    <w:tl2br w:val="nil"/>
                    <w:tr2bl w:val="nil"/>
                  </w:tcBorders>
                  <w:noWrap/>
                  <w:vAlign w:val="center"/>
                </w:tcPr>
                <w:p>
                  <w:pPr>
                    <w:jc w:val="center"/>
                    <w:rPr>
                      <w:color w:val="auto"/>
                      <w:sz w:val="18"/>
                      <w:szCs w:val="18"/>
                    </w:rPr>
                  </w:pPr>
                  <w:r>
                    <w:rPr>
                      <w:color w:val="auto"/>
                      <w:sz w:val="18"/>
                      <w:szCs w:val="18"/>
                    </w:rPr>
                    <w:t>48.95</w:t>
                  </w:r>
                </w:p>
              </w:tc>
              <w:tc>
                <w:tcPr>
                  <w:tcW w:w="784" w:type="pct"/>
                  <w:tcBorders>
                    <w:tl2br w:val="nil"/>
                    <w:tr2bl w:val="nil"/>
                  </w:tcBorders>
                  <w:noWrap/>
                  <w:vAlign w:val="center"/>
                </w:tcPr>
                <w:p>
                  <w:pPr>
                    <w:jc w:val="center"/>
                    <w:rPr>
                      <w:color w:val="auto"/>
                      <w:sz w:val="18"/>
                      <w:szCs w:val="18"/>
                    </w:rPr>
                  </w:pPr>
                  <w:r>
                    <w:rPr>
                      <w:color w:val="auto"/>
                      <w:sz w:val="18"/>
                      <w:szCs w:val="18"/>
                    </w:rPr>
                    <w:t>82.86</w:t>
                  </w:r>
                </w:p>
              </w:tc>
              <w:tc>
                <w:tcPr>
                  <w:tcW w:w="730" w:type="pct"/>
                  <w:tcBorders>
                    <w:tl2br w:val="nil"/>
                    <w:tr2bl w:val="nil"/>
                  </w:tcBorders>
                  <w:noWrap/>
                  <w:vAlign w:val="center"/>
                </w:tcPr>
                <w:p>
                  <w:pPr>
                    <w:jc w:val="center"/>
                    <w:rPr>
                      <w:color w:val="auto"/>
                      <w:sz w:val="18"/>
                      <w:szCs w:val="18"/>
                    </w:rPr>
                  </w:pPr>
                  <w:r>
                    <w:rPr>
                      <w:color w:val="auto"/>
                      <w:sz w:val="18"/>
                      <w:szCs w:val="18"/>
                    </w:rPr>
                    <w:t>17.01</w:t>
                  </w:r>
                </w:p>
              </w:tc>
              <w:tc>
                <w:tcPr>
                  <w:tcW w:w="921" w:type="pct"/>
                  <w:tcBorders>
                    <w:tl2br w:val="nil"/>
                    <w:tr2bl w:val="nil"/>
                  </w:tcBorders>
                  <w:noWrap/>
                  <w:vAlign w:val="center"/>
                </w:tcPr>
                <w:p>
                  <w:pPr>
                    <w:jc w:val="center"/>
                    <w:rPr>
                      <w:color w:val="auto"/>
                      <w:sz w:val="18"/>
                      <w:szCs w:val="18"/>
                    </w:rPr>
                  </w:pPr>
                </w:p>
              </w:tc>
              <w:tc>
                <w:tcPr>
                  <w:tcW w:w="386"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7</w:t>
                  </w:r>
                </w:p>
              </w:tc>
              <w:tc>
                <w:tcPr>
                  <w:tcW w:w="312" w:type="pct"/>
                  <w:tcBorders>
                    <w:tl2br w:val="nil"/>
                    <w:tr2bl w:val="nil"/>
                  </w:tcBorders>
                  <w:noWrap/>
                  <w:vAlign w:val="center"/>
                </w:tcPr>
                <w:p>
                  <w:pPr>
                    <w:jc w:val="center"/>
                    <w:rPr>
                      <w:color w:val="auto"/>
                      <w:sz w:val="18"/>
                      <w:szCs w:val="18"/>
                    </w:rPr>
                  </w:pPr>
                  <w:r>
                    <w:rPr>
                      <w:color w:val="auto"/>
                      <w:sz w:val="18"/>
                      <w:szCs w:val="18"/>
                    </w:rPr>
                    <w:t>6</w:t>
                  </w:r>
                </w:p>
              </w:tc>
              <w:tc>
                <w:tcPr>
                  <w:tcW w:w="918" w:type="pct"/>
                  <w:tcBorders>
                    <w:tl2br w:val="nil"/>
                    <w:tr2bl w:val="nil"/>
                  </w:tcBorders>
                  <w:noWrap/>
                  <w:vAlign w:val="center"/>
                </w:tcPr>
                <w:p>
                  <w:pPr>
                    <w:jc w:val="center"/>
                    <w:rPr>
                      <w:color w:val="auto"/>
                      <w:sz w:val="18"/>
                      <w:szCs w:val="18"/>
                    </w:rPr>
                  </w:pPr>
                  <w:r>
                    <w:rPr>
                      <w:color w:val="auto"/>
                      <w:sz w:val="18"/>
                      <w:szCs w:val="18"/>
                    </w:rPr>
                    <w:t>6.61</w:t>
                  </w:r>
                </w:p>
              </w:tc>
              <w:tc>
                <w:tcPr>
                  <w:tcW w:w="636" w:type="pct"/>
                  <w:tcBorders>
                    <w:tl2br w:val="nil"/>
                    <w:tr2bl w:val="nil"/>
                  </w:tcBorders>
                  <w:noWrap/>
                  <w:vAlign w:val="center"/>
                </w:tcPr>
                <w:p>
                  <w:pPr>
                    <w:jc w:val="center"/>
                    <w:rPr>
                      <w:color w:val="auto"/>
                      <w:sz w:val="18"/>
                      <w:szCs w:val="18"/>
                    </w:rPr>
                  </w:pPr>
                  <w:r>
                    <w:rPr>
                      <w:color w:val="auto"/>
                      <w:sz w:val="18"/>
                      <w:szCs w:val="18"/>
                    </w:rPr>
                    <w:t>48.74</w:t>
                  </w:r>
                </w:p>
              </w:tc>
              <w:tc>
                <w:tcPr>
                  <w:tcW w:w="784" w:type="pct"/>
                  <w:tcBorders>
                    <w:tl2br w:val="nil"/>
                    <w:tr2bl w:val="nil"/>
                  </w:tcBorders>
                  <w:noWrap/>
                  <w:vAlign w:val="center"/>
                </w:tcPr>
                <w:p>
                  <w:pPr>
                    <w:jc w:val="center"/>
                    <w:rPr>
                      <w:color w:val="auto"/>
                      <w:sz w:val="18"/>
                      <w:szCs w:val="18"/>
                    </w:rPr>
                  </w:pPr>
                  <w:r>
                    <w:rPr>
                      <w:color w:val="auto"/>
                      <w:sz w:val="18"/>
                      <w:szCs w:val="18"/>
                    </w:rPr>
                    <w:t>80.50</w:t>
                  </w:r>
                </w:p>
              </w:tc>
              <w:tc>
                <w:tcPr>
                  <w:tcW w:w="730" w:type="pct"/>
                  <w:tcBorders>
                    <w:tl2br w:val="nil"/>
                    <w:tr2bl w:val="nil"/>
                  </w:tcBorders>
                  <w:noWrap/>
                  <w:vAlign w:val="center"/>
                </w:tcPr>
                <w:p>
                  <w:pPr>
                    <w:jc w:val="center"/>
                    <w:rPr>
                      <w:color w:val="auto"/>
                      <w:sz w:val="18"/>
                      <w:szCs w:val="18"/>
                    </w:rPr>
                  </w:pPr>
                  <w:r>
                    <w:rPr>
                      <w:color w:val="auto"/>
                      <w:sz w:val="18"/>
                      <w:szCs w:val="18"/>
                    </w:rPr>
                    <w:t>15.47</w:t>
                  </w:r>
                </w:p>
              </w:tc>
              <w:tc>
                <w:tcPr>
                  <w:tcW w:w="921" w:type="pct"/>
                  <w:tcBorders>
                    <w:tl2br w:val="nil"/>
                    <w:tr2bl w:val="nil"/>
                  </w:tcBorders>
                  <w:noWrap/>
                  <w:vAlign w:val="center"/>
                </w:tcPr>
                <w:p>
                  <w:pPr>
                    <w:jc w:val="center"/>
                    <w:rPr>
                      <w:color w:val="auto"/>
                      <w:sz w:val="18"/>
                      <w:szCs w:val="18"/>
                    </w:rPr>
                  </w:pPr>
                </w:p>
              </w:tc>
              <w:tc>
                <w:tcPr>
                  <w:tcW w:w="386"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8</w:t>
                  </w:r>
                </w:p>
              </w:tc>
              <w:tc>
                <w:tcPr>
                  <w:tcW w:w="312" w:type="pct"/>
                  <w:tcBorders>
                    <w:tl2br w:val="nil"/>
                    <w:tr2bl w:val="nil"/>
                  </w:tcBorders>
                  <w:noWrap/>
                  <w:vAlign w:val="center"/>
                </w:tcPr>
                <w:p>
                  <w:pPr>
                    <w:jc w:val="center"/>
                    <w:rPr>
                      <w:color w:val="auto"/>
                      <w:sz w:val="18"/>
                      <w:szCs w:val="18"/>
                    </w:rPr>
                  </w:pPr>
                  <w:r>
                    <w:rPr>
                      <w:color w:val="auto"/>
                      <w:sz w:val="18"/>
                      <w:szCs w:val="18"/>
                    </w:rPr>
                    <w:t>7</w:t>
                  </w:r>
                </w:p>
              </w:tc>
              <w:tc>
                <w:tcPr>
                  <w:tcW w:w="918" w:type="pct"/>
                  <w:tcBorders>
                    <w:tl2br w:val="nil"/>
                    <w:tr2bl w:val="nil"/>
                  </w:tcBorders>
                  <w:noWrap/>
                  <w:vAlign w:val="center"/>
                </w:tcPr>
                <w:p>
                  <w:pPr>
                    <w:jc w:val="center"/>
                    <w:rPr>
                      <w:color w:val="auto"/>
                      <w:sz w:val="18"/>
                      <w:szCs w:val="18"/>
                    </w:rPr>
                  </w:pPr>
                  <w:r>
                    <w:rPr>
                      <w:color w:val="auto"/>
                      <w:sz w:val="18"/>
                      <w:szCs w:val="18"/>
                    </w:rPr>
                    <w:t>3.3</w:t>
                  </w:r>
                </w:p>
              </w:tc>
              <w:tc>
                <w:tcPr>
                  <w:tcW w:w="636" w:type="pct"/>
                  <w:tcBorders>
                    <w:tl2br w:val="nil"/>
                    <w:tr2bl w:val="nil"/>
                  </w:tcBorders>
                  <w:noWrap/>
                  <w:vAlign w:val="center"/>
                </w:tcPr>
                <w:p>
                  <w:pPr>
                    <w:jc w:val="center"/>
                    <w:rPr>
                      <w:color w:val="auto"/>
                      <w:sz w:val="18"/>
                      <w:szCs w:val="18"/>
                    </w:rPr>
                  </w:pPr>
                  <w:r>
                    <w:rPr>
                      <w:color w:val="auto"/>
                      <w:sz w:val="18"/>
                      <w:szCs w:val="18"/>
                    </w:rPr>
                    <w:t>48.45</w:t>
                  </w:r>
                </w:p>
              </w:tc>
              <w:tc>
                <w:tcPr>
                  <w:tcW w:w="784" w:type="pct"/>
                  <w:tcBorders>
                    <w:tl2br w:val="nil"/>
                    <w:tr2bl w:val="nil"/>
                  </w:tcBorders>
                  <w:noWrap/>
                  <w:vAlign w:val="center"/>
                </w:tcPr>
                <w:p>
                  <w:pPr>
                    <w:jc w:val="center"/>
                    <w:rPr>
                      <w:color w:val="auto"/>
                      <w:sz w:val="18"/>
                      <w:szCs w:val="18"/>
                    </w:rPr>
                  </w:pPr>
                  <w:r>
                    <w:rPr>
                      <w:color w:val="auto"/>
                      <w:sz w:val="18"/>
                      <w:szCs w:val="18"/>
                    </w:rPr>
                    <w:t>77.12</w:t>
                  </w:r>
                </w:p>
              </w:tc>
              <w:tc>
                <w:tcPr>
                  <w:tcW w:w="730" w:type="pct"/>
                  <w:tcBorders>
                    <w:tl2br w:val="nil"/>
                    <w:tr2bl w:val="nil"/>
                  </w:tcBorders>
                  <w:noWrap/>
                  <w:vAlign w:val="center"/>
                </w:tcPr>
                <w:p>
                  <w:pPr>
                    <w:jc w:val="center"/>
                    <w:rPr>
                      <w:color w:val="auto"/>
                      <w:sz w:val="18"/>
                      <w:szCs w:val="18"/>
                    </w:rPr>
                  </w:pPr>
                  <w:r>
                    <w:rPr>
                      <w:color w:val="auto"/>
                      <w:sz w:val="18"/>
                      <w:szCs w:val="18"/>
                    </w:rPr>
                    <w:t>13.26</w:t>
                  </w:r>
                </w:p>
              </w:tc>
              <w:tc>
                <w:tcPr>
                  <w:tcW w:w="921" w:type="pct"/>
                  <w:tcBorders>
                    <w:tl2br w:val="nil"/>
                    <w:tr2bl w:val="nil"/>
                  </w:tcBorders>
                  <w:noWrap/>
                  <w:vAlign w:val="center"/>
                </w:tcPr>
                <w:p>
                  <w:pPr>
                    <w:jc w:val="center"/>
                    <w:rPr>
                      <w:color w:val="auto"/>
                      <w:sz w:val="18"/>
                      <w:szCs w:val="18"/>
                    </w:rPr>
                  </w:pPr>
                </w:p>
              </w:tc>
              <w:tc>
                <w:tcPr>
                  <w:tcW w:w="386"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9</w:t>
                  </w:r>
                </w:p>
              </w:tc>
              <w:tc>
                <w:tcPr>
                  <w:tcW w:w="312" w:type="pct"/>
                  <w:tcBorders>
                    <w:tl2br w:val="nil"/>
                    <w:tr2bl w:val="nil"/>
                  </w:tcBorders>
                  <w:noWrap/>
                  <w:vAlign w:val="center"/>
                </w:tcPr>
                <w:p>
                  <w:pPr>
                    <w:jc w:val="center"/>
                    <w:rPr>
                      <w:color w:val="auto"/>
                      <w:sz w:val="18"/>
                      <w:szCs w:val="18"/>
                    </w:rPr>
                  </w:pPr>
                  <w:r>
                    <w:rPr>
                      <w:color w:val="auto"/>
                      <w:sz w:val="18"/>
                      <w:szCs w:val="18"/>
                    </w:rPr>
                    <w:t>8</w:t>
                  </w:r>
                </w:p>
              </w:tc>
              <w:tc>
                <w:tcPr>
                  <w:tcW w:w="918" w:type="pct"/>
                  <w:tcBorders>
                    <w:tl2br w:val="nil"/>
                    <w:tr2bl w:val="nil"/>
                  </w:tcBorders>
                  <w:noWrap/>
                  <w:vAlign w:val="center"/>
                </w:tcPr>
                <w:p>
                  <w:pPr>
                    <w:jc w:val="center"/>
                    <w:rPr>
                      <w:color w:val="auto"/>
                      <w:sz w:val="18"/>
                      <w:szCs w:val="18"/>
                    </w:rPr>
                  </w:pPr>
                  <w:r>
                    <w:rPr>
                      <w:color w:val="auto"/>
                      <w:sz w:val="18"/>
                      <w:szCs w:val="18"/>
                    </w:rPr>
                    <w:t>1.65</w:t>
                  </w:r>
                </w:p>
              </w:tc>
              <w:tc>
                <w:tcPr>
                  <w:tcW w:w="636" w:type="pct"/>
                  <w:tcBorders>
                    <w:tl2br w:val="nil"/>
                    <w:tr2bl w:val="nil"/>
                  </w:tcBorders>
                  <w:noWrap/>
                  <w:vAlign w:val="center"/>
                </w:tcPr>
                <w:p>
                  <w:pPr>
                    <w:jc w:val="center"/>
                    <w:rPr>
                      <w:color w:val="auto"/>
                      <w:sz w:val="18"/>
                      <w:szCs w:val="18"/>
                    </w:rPr>
                  </w:pPr>
                  <w:r>
                    <w:rPr>
                      <w:color w:val="auto"/>
                      <w:sz w:val="18"/>
                      <w:szCs w:val="18"/>
                    </w:rPr>
                    <w:t>48.15</w:t>
                  </w:r>
                </w:p>
              </w:tc>
              <w:tc>
                <w:tcPr>
                  <w:tcW w:w="784" w:type="pct"/>
                  <w:tcBorders>
                    <w:tl2br w:val="nil"/>
                    <w:tr2bl w:val="nil"/>
                  </w:tcBorders>
                  <w:noWrap/>
                  <w:vAlign w:val="center"/>
                </w:tcPr>
                <w:p>
                  <w:pPr>
                    <w:jc w:val="center"/>
                    <w:rPr>
                      <w:color w:val="auto"/>
                      <w:sz w:val="18"/>
                      <w:szCs w:val="18"/>
                    </w:rPr>
                  </w:pPr>
                  <w:r>
                    <w:rPr>
                      <w:color w:val="auto"/>
                      <w:sz w:val="18"/>
                      <w:szCs w:val="18"/>
                    </w:rPr>
                    <w:t>73.64</w:t>
                  </w:r>
                </w:p>
              </w:tc>
              <w:tc>
                <w:tcPr>
                  <w:tcW w:w="730" w:type="pct"/>
                  <w:tcBorders>
                    <w:tl2br w:val="nil"/>
                    <w:tr2bl w:val="nil"/>
                  </w:tcBorders>
                  <w:noWrap/>
                  <w:vAlign w:val="center"/>
                </w:tcPr>
                <w:p>
                  <w:pPr>
                    <w:jc w:val="center"/>
                    <w:rPr>
                      <w:color w:val="auto"/>
                      <w:sz w:val="18"/>
                      <w:szCs w:val="18"/>
                    </w:rPr>
                  </w:pPr>
                  <w:r>
                    <w:rPr>
                      <w:color w:val="auto"/>
                      <w:sz w:val="18"/>
                      <w:szCs w:val="18"/>
                    </w:rPr>
                    <w:t>10.99</w:t>
                  </w:r>
                </w:p>
              </w:tc>
              <w:tc>
                <w:tcPr>
                  <w:tcW w:w="921" w:type="pct"/>
                  <w:tcBorders>
                    <w:tl2br w:val="nil"/>
                    <w:tr2bl w:val="nil"/>
                  </w:tcBorders>
                  <w:noWrap/>
                  <w:vAlign w:val="center"/>
                </w:tcPr>
                <w:p>
                  <w:pPr>
                    <w:jc w:val="center"/>
                    <w:rPr>
                      <w:color w:val="auto"/>
                      <w:sz w:val="18"/>
                      <w:szCs w:val="18"/>
                    </w:rPr>
                  </w:pPr>
                </w:p>
              </w:tc>
              <w:tc>
                <w:tcPr>
                  <w:tcW w:w="386"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10</w:t>
                  </w:r>
                </w:p>
              </w:tc>
              <w:tc>
                <w:tcPr>
                  <w:tcW w:w="312" w:type="pct"/>
                  <w:tcBorders>
                    <w:tl2br w:val="nil"/>
                    <w:tr2bl w:val="nil"/>
                  </w:tcBorders>
                  <w:noWrap/>
                  <w:vAlign w:val="center"/>
                </w:tcPr>
                <w:p>
                  <w:pPr>
                    <w:jc w:val="center"/>
                    <w:rPr>
                      <w:color w:val="auto"/>
                      <w:sz w:val="18"/>
                      <w:szCs w:val="18"/>
                    </w:rPr>
                  </w:pPr>
                  <w:r>
                    <w:rPr>
                      <w:color w:val="auto"/>
                      <w:sz w:val="18"/>
                      <w:szCs w:val="18"/>
                    </w:rPr>
                    <w:t>9</w:t>
                  </w:r>
                </w:p>
              </w:tc>
              <w:tc>
                <w:tcPr>
                  <w:tcW w:w="918" w:type="pct"/>
                  <w:tcBorders>
                    <w:tl2br w:val="nil"/>
                    <w:tr2bl w:val="nil"/>
                  </w:tcBorders>
                  <w:noWrap/>
                  <w:vAlign w:val="center"/>
                </w:tcPr>
                <w:p>
                  <w:pPr>
                    <w:jc w:val="center"/>
                    <w:rPr>
                      <w:color w:val="auto"/>
                      <w:sz w:val="18"/>
                      <w:szCs w:val="18"/>
                    </w:rPr>
                  </w:pPr>
                  <w:r>
                    <w:rPr>
                      <w:color w:val="auto"/>
                      <w:sz w:val="18"/>
                      <w:szCs w:val="18"/>
                    </w:rPr>
                    <w:t>0.776</w:t>
                  </w:r>
                </w:p>
              </w:tc>
              <w:tc>
                <w:tcPr>
                  <w:tcW w:w="636" w:type="pct"/>
                  <w:tcBorders>
                    <w:tl2br w:val="nil"/>
                    <w:tr2bl w:val="nil"/>
                  </w:tcBorders>
                  <w:noWrap/>
                  <w:vAlign w:val="center"/>
                </w:tcPr>
                <w:p>
                  <w:pPr>
                    <w:jc w:val="center"/>
                    <w:rPr>
                      <w:color w:val="auto"/>
                      <w:sz w:val="18"/>
                      <w:szCs w:val="18"/>
                    </w:rPr>
                  </w:pPr>
                  <w:r>
                    <w:rPr>
                      <w:color w:val="auto"/>
                      <w:sz w:val="18"/>
                      <w:szCs w:val="18"/>
                    </w:rPr>
                    <w:t>47.85</w:t>
                  </w:r>
                </w:p>
              </w:tc>
              <w:tc>
                <w:tcPr>
                  <w:tcW w:w="784" w:type="pct"/>
                  <w:tcBorders>
                    <w:tl2br w:val="nil"/>
                    <w:tr2bl w:val="nil"/>
                  </w:tcBorders>
                  <w:noWrap/>
                  <w:vAlign w:val="center"/>
                </w:tcPr>
                <w:p>
                  <w:pPr>
                    <w:jc w:val="center"/>
                    <w:rPr>
                      <w:color w:val="auto"/>
                      <w:sz w:val="18"/>
                      <w:szCs w:val="18"/>
                    </w:rPr>
                  </w:pPr>
                  <w:r>
                    <w:rPr>
                      <w:color w:val="auto"/>
                      <w:sz w:val="18"/>
                      <w:szCs w:val="18"/>
                    </w:rPr>
                    <w:t>70.45</w:t>
                  </w:r>
                </w:p>
              </w:tc>
              <w:tc>
                <w:tcPr>
                  <w:tcW w:w="730" w:type="pct"/>
                  <w:tcBorders>
                    <w:tl2br w:val="nil"/>
                    <w:tr2bl w:val="nil"/>
                  </w:tcBorders>
                  <w:noWrap/>
                  <w:vAlign w:val="center"/>
                </w:tcPr>
                <w:p>
                  <w:pPr>
                    <w:jc w:val="center"/>
                    <w:rPr>
                      <w:color w:val="auto"/>
                      <w:sz w:val="18"/>
                      <w:szCs w:val="18"/>
                    </w:rPr>
                  </w:pPr>
                  <w:r>
                    <w:rPr>
                      <w:color w:val="auto"/>
                      <w:sz w:val="18"/>
                      <w:szCs w:val="18"/>
                    </w:rPr>
                    <w:t>9.20</w:t>
                  </w:r>
                </w:p>
              </w:tc>
              <w:tc>
                <w:tcPr>
                  <w:tcW w:w="921" w:type="pct"/>
                  <w:tcBorders>
                    <w:tl2br w:val="nil"/>
                    <w:tr2bl w:val="nil"/>
                  </w:tcBorders>
                  <w:noWrap/>
                  <w:vAlign w:val="center"/>
                </w:tcPr>
                <w:p>
                  <w:pPr>
                    <w:jc w:val="center"/>
                    <w:rPr>
                      <w:color w:val="auto"/>
                      <w:sz w:val="18"/>
                      <w:szCs w:val="18"/>
                    </w:rPr>
                  </w:pPr>
                </w:p>
              </w:tc>
              <w:tc>
                <w:tcPr>
                  <w:tcW w:w="386"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11</w:t>
                  </w:r>
                </w:p>
              </w:tc>
              <w:tc>
                <w:tcPr>
                  <w:tcW w:w="312" w:type="pct"/>
                  <w:tcBorders>
                    <w:tl2br w:val="nil"/>
                    <w:tr2bl w:val="nil"/>
                  </w:tcBorders>
                  <w:noWrap/>
                  <w:vAlign w:val="center"/>
                </w:tcPr>
                <w:p>
                  <w:pPr>
                    <w:jc w:val="center"/>
                    <w:rPr>
                      <w:color w:val="auto"/>
                      <w:sz w:val="18"/>
                      <w:szCs w:val="18"/>
                    </w:rPr>
                  </w:pPr>
                  <w:r>
                    <w:rPr>
                      <w:color w:val="auto"/>
                      <w:sz w:val="18"/>
                      <w:szCs w:val="18"/>
                    </w:rPr>
                    <w:t>10</w:t>
                  </w:r>
                </w:p>
              </w:tc>
              <w:tc>
                <w:tcPr>
                  <w:tcW w:w="918" w:type="pct"/>
                  <w:tcBorders>
                    <w:tl2br w:val="nil"/>
                    <w:tr2bl w:val="nil"/>
                  </w:tcBorders>
                  <w:noWrap/>
                  <w:vAlign w:val="center"/>
                </w:tcPr>
                <w:p>
                  <w:pPr>
                    <w:jc w:val="center"/>
                    <w:rPr>
                      <w:color w:val="auto"/>
                      <w:sz w:val="18"/>
                      <w:szCs w:val="18"/>
                    </w:rPr>
                  </w:pPr>
                  <w:r>
                    <w:rPr>
                      <w:color w:val="auto"/>
                      <w:sz w:val="18"/>
                      <w:szCs w:val="18"/>
                    </w:rPr>
                    <w:t>0.304</w:t>
                  </w:r>
                </w:p>
              </w:tc>
              <w:tc>
                <w:tcPr>
                  <w:tcW w:w="636" w:type="pct"/>
                  <w:tcBorders>
                    <w:tl2br w:val="nil"/>
                    <w:tr2bl w:val="nil"/>
                  </w:tcBorders>
                  <w:noWrap/>
                  <w:vAlign w:val="center"/>
                </w:tcPr>
                <w:p>
                  <w:pPr>
                    <w:jc w:val="center"/>
                    <w:rPr>
                      <w:color w:val="auto"/>
                      <w:sz w:val="18"/>
                      <w:szCs w:val="18"/>
                    </w:rPr>
                  </w:pPr>
                  <w:r>
                    <w:rPr>
                      <w:color w:val="auto"/>
                      <w:sz w:val="18"/>
                      <w:szCs w:val="18"/>
                    </w:rPr>
                    <w:t>47.57</w:t>
                  </w:r>
                </w:p>
              </w:tc>
              <w:tc>
                <w:tcPr>
                  <w:tcW w:w="784" w:type="pct"/>
                  <w:tcBorders>
                    <w:tl2br w:val="nil"/>
                    <w:tr2bl w:val="nil"/>
                  </w:tcBorders>
                  <w:noWrap/>
                  <w:vAlign w:val="center"/>
                </w:tcPr>
                <w:p>
                  <w:pPr>
                    <w:jc w:val="center"/>
                    <w:rPr>
                      <w:color w:val="auto"/>
                      <w:sz w:val="18"/>
                      <w:szCs w:val="18"/>
                    </w:rPr>
                  </w:pPr>
                  <w:r>
                    <w:rPr>
                      <w:color w:val="auto"/>
                      <w:sz w:val="18"/>
                      <w:szCs w:val="18"/>
                    </w:rPr>
                    <w:t>67.57</w:t>
                  </w:r>
                </w:p>
              </w:tc>
              <w:tc>
                <w:tcPr>
                  <w:tcW w:w="730" w:type="pct"/>
                  <w:tcBorders>
                    <w:tl2br w:val="nil"/>
                    <w:tr2bl w:val="nil"/>
                  </w:tcBorders>
                  <w:noWrap/>
                  <w:vAlign w:val="center"/>
                </w:tcPr>
                <w:p>
                  <w:pPr>
                    <w:jc w:val="center"/>
                    <w:rPr>
                      <w:color w:val="auto"/>
                      <w:sz w:val="18"/>
                      <w:szCs w:val="18"/>
                    </w:rPr>
                  </w:pPr>
                  <w:r>
                    <w:rPr>
                      <w:color w:val="auto"/>
                      <w:sz w:val="18"/>
                      <w:szCs w:val="18"/>
                    </w:rPr>
                    <w:t>7.88</w:t>
                  </w:r>
                </w:p>
              </w:tc>
              <w:tc>
                <w:tcPr>
                  <w:tcW w:w="921" w:type="pct"/>
                  <w:tcBorders>
                    <w:tl2br w:val="nil"/>
                    <w:tr2bl w:val="nil"/>
                  </w:tcBorders>
                  <w:noWrap/>
                  <w:vAlign w:val="center"/>
                </w:tcPr>
                <w:p>
                  <w:pPr>
                    <w:jc w:val="center"/>
                    <w:rPr>
                      <w:color w:val="auto"/>
                      <w:sz w:val="18"/>
                      <w:szCs w:val="18"/>
                    </w:rPr>
                  </w:pPr>
                </w:p>
              </w:tc>
              <w:tc>
                <w:tcPr>
                  <w:tcW w:w="386"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12</w:t>
                  </w:r>
                </w:p>
              </w:tc>
              <w:tc>
                <w:tcPr>
                  <w:tcW w:w="312" w:type="pct"/>
                  <w:tcBorders>
                    <w:tl2br w:val="nil"/>
                    <w:tr2bl w:val="nil"/>
                  </w:tcBorders>
                  <w:noWrap/>
                  <w:vAlign w:val="center"/>
                </w:tcPr>
                <w:p>
                  <w:pPr>
                    <w:jc w:val="center"/>
                    <w:rPr>
                      <w:color w:val="auto"/>
                      <w:sz w:val="18"/>
                      <w:szCs w:val="18"/>
                    </w:rPr>
                  </w:pPr>
                  <w:r>
                    <w:rPr>
                      <w:color w:val="auto"/>
                      <w:sz w:val="18"/>
                      <w:szCs w:val="18"/>
                    </w:rPr>
                    <w:t>11</w:t>
                  </w:r>
                </w:p>
              </w:tc>
              <w:tc>
                <w:tcPr>
                  <w:tcW w:w="918" w:type="pct"/>
                  <w:tcBorders>
                    <w:tl2br w:val="nil"/>
                    <w:tr2bl w:val="nil"/>
                  </w:tcBorders>
                  <w:noWrap/>
                  <w:vAlign w:val="center"/>
                </w:tcPr>
                <w:p>
                  <w:pPr>
                    <w:jc w:val="center"/>
                    <w:rPr>
                      <w:color w:val="auto"/>
                      <w:sz w:val="18"/>
                      <w:szCs w:val="18"/>
                    </w:rPr>
                  </w:pPr>
                  <w:r>
                    <w:rPr>
                      <w:color w:val="auto"/>
                      <w:sz w:val="18"/>
                      <w:szCs w:val="18"/>
                    </w:rPr>
                    <w:t>0.168</w:t>
                  </w:r>
                </w:p>
              </w:tc>
              <w:tc>
                <w:tcPr>
                  <w:tcW w:w="636" w:type="pct"/>
                  <w:tcBorders>
                    <w:tl2br w:val="nil"/>
                    <w:tr2bl w:val="nil"/>
                  </w:tcBorders>
                  <w:noWrap/>
                  <w:vAlign w:val="center"/>
                </w:tcPr>
                <w:p>
                  <w:pPr>
                    <w:jc w:val="center"/>
                    <w:rPr>
                      <w:color w:val="auto"/>
                      <w:sz w:val="18"/>
                      <w:szCs w:val="18"/>
                    </w:rPr>
                  </w:pPr>
                  <w:r>
                    <w:rPr>
                      <w:color w:val="auto"/>
                      <w:sz w:val="18"/>
                      <w:szCs w:val="18"/>
                    </w:rPr>
                    <w:t>47.32</w:t>
                  </w:r>
                </w:p>
              </w:tc>
              <w:tc>
                <w:tcPr>
                  <w:tcW w:w="784" w:type="pct"/>
                  <w:tcBorders>
                    <w:tl2br w:val="nil"/>
                    <w:tr2bl w:val="nil"/>
                  </w:tcBorders>
                  <w:noWrap/>
                  <w:vAlign w:val="center"/>
                </w:tcPr>
                <w:p>
                  <w:pPr>
                    <w:jc w:val="center"/>
                    <w:rPr>
                      <w:color w:val="auto"/>
                      <w:sz w:val="18"/>
                      <w:szCs w:val="18"/>
                    </w:rPr>
                  </w:pPr>
                  <w:r>
                    <w:rPr>
                      <w:color w:val="auto"/>
                      <w:sz w:val="18"/>
                      <w:szCs w:val="18"/>
                    </w:rPr>
                    <w:t>65.03</w:t>
                  </w:r>
                </w:p>
              </w:tc>
              <w:tc>
                <w:tcPr>
                  <w:tcW w:w="730" w:type="pct"/>
                  <w:tcBorders>
                    <w:tl2br w:val="nil"/>
                    <w:tr2bl w:val="nil"/>
                  </w:tcBorders>
                  <w:noWrap/>
                  <w:vAlign w:val="center"/>
                </w:tcPr>
                <w:p>
                  <w:pPr>
                    <w:jc w:val="center"/>
                    <w:rPr>
                      <w:color w:val="auto"/>
                      <w:sz w:val="18"/>
                      <w:szCs w:val="18"/>
                    </w:rPr>
                  </w:pPr>
                  <w:r>
                    <w:rPr>
                      <w:color w:val="auto"/>
                      <w:sz w:val="18"/>
                      <w:szCs w:val="18"/>
                    </w:rPr>
                    <w:t>6.72</w:t>
                  </w:r>
                </w:p>
              </w:tc>
              <w:tc>
                <w:tcPr>
                  <w:tcW w:w="921" w:type="pct"/>
                  <w:tcBorders>
                    <w:tl2br w:val="nil"/>
                    <w:tr2bl w:val="nil"/>
                  </w:tcBorders>
                  <w:noWrap/>
                  <w:vAlign w:val="center"/>
                </w:tcPr>
                <w:p>
                  <w:pPr>
                    <w:jc w:val="center"/>
                    <w:rPr>
                      <w:color w:val="auto"/>
                      <w:sz w:val="18"/>
                      <w:szCs w:val="18"/>
                    </w:rPr>
                  </w:pPr>
                </w:p>
              </w:tc>
              <w:tc>
                <w:tcPr>
                  <w:tcW w:w="386"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13</w:t>
                  </w:r>
                </w:p>
              </w:tc>
              <w:tc>
                <w:tcPr>
                  <w:tcW w:w="312" w:type="pct"/>
                  <w:tcBorders>
                    <w:tl2br w:val="nil"/>
                    <w:tr2bl w:val="nil"/>
                  </w:tcBorders>
                  <w:noWrap/>
                  <w:vAlign w:val="center"/>
                </w:tcPr>
                <w:p>
                  <w:pPr>
                    <w:jc w:val="center"/>
                    <w:rPr>
                      <w:color w:val="auto"/>
                      <w:sz w:val="18"/>
                      <w:szCs w:val="18"/>
                    </w:rPr>
                  </w:pPr>
                  <w:r>
                    <w:rPr>
                      <w:color w:val="auto"/>
                      <w:sz w:val="18"/>
                      <w:szCs w:val="18"/>
                    </w:rPr>
                    <w:t>12</w:t>
                  </w:r>
                </w:p>
              </w:tc>
              <w:tc>
                <w:tcPr>
                  <w:tcW w:w="918" w:type="pct"/>
                  <w:tcBorders>
                    <w:tl2br w:val="nil"/>
                    <w:tr2bl w:val="nil"/>
                  </w:tcBorders>
                  <w:noWrap/>
                  <w:vAlign w:val="center"/>
                </w:tcPr>
                <w:p>
                  <w:pPr>
                    <w:jc w:val="center"/>
                    <w:rPr>
                      <w:color w:val="auto"/>
                      <w:sz w:val="18"/>
                      <w:szCs w:val="18"/>
                    </w:rPr>
                  </w:pPr>
                  <w:r>
                    <w:rPr>
                      <w:color w:val="auto"/>
                      <w:sz w:val="18"/>
                      <w:szCs w:val="18"/>
                    </w:rPr>
                    <w:t>0.068</w:t>
                  </w:r>
                </w:p>
              </w:tc>
              <w:tc>
                <w:tcPr>
                  <w:tcW w:w="636" w:type="pct"/>
                  <w:tcBorders>
                    <w:tl2br w:val="nil"/>
                    <w:tr2bl w:val="nil"/>
                  </w:tcBorders>
                  <w:noWrap/>
                  <w:vAlign w:val="center"/>
                </w:tcPr>
                <w:p>
                  <w:pPr>
                    <w:jc w:val="center"/>
                    <w:rPr>
                      <w:color w:val="auto"/>
                      <w:sz w:val="18"/>
                      <w:szCs w:val="18"/>
                    </w:rPr>
                  </w:pPr>
                  <w:r>
                    <w:rPr>
                      <w:color w:val="auto"/>
                      <w:sz w:val="18"/>
                      <w:szCs w:val="18"/>
                    </w:rPr>
                    <w:t>47.10</w:t>
                  </w:r>
                </w:p>
              </w:tc>
              <w:tc>
                <w:tcPr>
                  <w:tcW w:w="784" w:type="pct"/>
                  <w:tcBorders>
                    <w:tl2br w:val="nil"/>
                    <w:tr2bl w:val="nil"/>
                  </w:tcBorders>
                  <w:noWrap/>
                  <w:vAlign w:val="center"/>
                </w:tcPr>
                <w:p>
                  <w:pPr>
                    <w:jc w:val="center"/>
                    <w:rPr>
                      <w:color w:val="auto"/>
                      <w:sz w:val="18"/>
                      <w:szCs w:val="18"/>
                    </w:rPr>
                  </w:pPr>
                  <w:r>
                    <w:rPr>
                      <w:color w:val="auto"/>
                      <w:sz w:val="18"/>
                      <w:szCs w:val="18"/>
                    </w:rPr>
                    <w:t>62.83</w:t>
                  </w:r>
                </w:p>
              </w:tc>
              <w:tc>
                <w:tcPr>
                  <w:tcW w:w="730" w:type="pct"/>
                  <w:tcBorders>
                    <w:tl2br w:val="nil"/>
                    <w:tr2bl w:val="nil"/>
                  </w:tcBorders>
                  <w:noWrap/>
                  <w:vAlign w:val="center"/>
                </w:tcPr>
                <w:p>
                  <w:pPr>
                    <w:jc w:val="center"/>
                    <w:rPr>
                      <w:color w:val="auto"/>
                      <w:sz w:val="18"/>
                      <w:szCs w:val="18"/>
                    </w:rPr>
                  </w:pPr>
                  <w:r>
                    <w:rPr>
                      <w:color w:val="auto"/>
                      <w:sz w:val="18"/>
                      <w:szCs w:val="18"/>
                    </w:rPr>
                    <w:t>5.71</w:t>
                  </w:r>
                </w:p>
              </w:tc>
              <w:tc>
                <w:tcPr>
                  <w:tcW w:w="921" w:type="pct"/>
                  <w:tcBorders>
                    <w:tl2br w:val="nil"/>
                    <w:tr2bl w:val="nil"/>
                  </w:tcBorders>
                  <w:noWrap/>
                  <w:vAlign w:val="center"/>
                </w:tcPr>
                <w:p>
                  <w:pPr>
                    <w:jc w:val="center"/>
                    <w:rPr>
                      <w:color w:val="auto"/>
                      <w:sz w:val="18"/>
                      <w:szCs w:val="18"/>
                    </w:rPr>
                  </w:pPr>
                </w:p>
              </w:tc>
              <w:tc>
                <w:tcPr>
                  <w:tcW w:w="386" w:type="pct"/>
                  <w:tcBorders>
                    <w:tl2br w:val="nil"/>
                    <w:tr2bl w:val="nil"/>
                  </w:tcBorders>
                  <w:noWrap/>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 w:type="pct"/>
                  <w:tcBorders>
                    <w:tl2br w:val="nil"/>
                    <w:tr2bl w:val="nil"/>
                  </w:tcBorders>
                  <w:noWrap/>
                  <w:vAlign w:val="center"/>
                </w:tcPr>
                <w:p>
                  <w:pPr>
                    <w:jc w:val="center"/>
                    <w:rPr>
                      <w:color w:val="auto"/>
                      <w:sz w:val="18"/>
                      <w:szCs w:val="18"/>
                    </w:rPr>
                  </w:pPr>
                  <w:r>
                    <w:rPr>
                      <w:color w:val="auto"/>
                      <w:sz w:val="18"/>
                      <w:szCs w:val="18"/>
                    </w:rPr>
                    <w:t>14</w:t>
                  </w:r>
                </w:p>
              </w:tc>
              <w:tc>
                <w:tcPr>
                  <w:tcW w:w="312" w:type="pct"/>
                  <w:tcBorders>
                    <w:tl2br w:val="nil"/>
                    <w:tr2bl w:val="nil"/>
                  </w:tcBorders>
                  <w:noWrap/>
                  <w:vAlign w:val="center"/>
                </w:tcPr>
                <w:p>
                  <w:pPr>
                    <w:jc w:val="center"/>
                    <w:rPr>
                      <w:color w:val="auto"/>
                      <w:sz w:val="18"/>
                      <w:szCs w:val="18"/>
                    </w:rPr>
                  </w:pPr>
                  <w:r>
                    <w:rPr>
                      <w:color w:val="auto"/>
                      <w:sz w:val="18"/>
                      <w:szCs w:val="18"/>
                    </w:rPr>
                    <w:t>13</w:t>
                  </w:r>
                </w:p>
              </w:tc>
              <w:tc>
                <w:tcPr>
                  <w:tcW w:w="918" w:type="pct"/>
                  <w:tcBorders>
                    <w:tl2br w:val="nil"/>
                    <w:tr2bl w:val="nil"/>
                  </w:tcBorders>
                  <w:noWrap/>
                  <w:vAlign w:val="center"/>
                </w:tcPr>
                <w:p>
                  <w:pPr>
                    <w:jc w:val="center"/>
                    <w:rPr>
                      <w:color w:val="auto"/>
                      <w:sz w:val="18"/>
                      <w:szCs w:val="18"/>
                    </w:rPr>
                  </w:pPr>
                  <w:r>
                    <w:rPr>
                      <w:color w:val="auto"/>
                      <w:sz w:val="18"/>
                      <w:szCs w:val="18"/>
                    </w:rPr>
                    <w:t>0</w:t>
                  </w:r>
                </w:p>
              </w:tc>
              <w:tc>
                <w:tcPr>
                  <w:tcW w:w="636" w:type="pct"/>
                  <w:tcBorders>
                    <w:tl2br w:val="nil"/>
                    <w:tr2bl w:val="nil"/>
                  </w:tcBorders>
                  <w:noWrap/>
                  <w:vAlign w:val="center"/>
                </w:tcPr>
                <w:p>
                  <w:pPr>
                    <w:jc w:val="center"/>
                    <w:rPr>
                      <w:color w:val="auto"/>
                      <w:sz w:val="18"/>
                      <w:szCs w:val="18"/>
                    </w:rPr>
                  </w:pPr>
                  <w:r>
                    <w:rPr>
                      <w:color w:val="auto"/>
                      <w:sz w:val="18"/>
                      <w:szCs w:val="18"/>
                    </w:rPr>
                    <w:t>46.92</w:t>
                  </w:r>
                </w:p>
              </w:tc>
              <w:tc>
                <w:tcPr>
                  <w:tcW w:w="784" w:type="pct"/>
                  <w:tcBorders>
                    <w:tl2br w:val="nil"/>
                    <w:tr2bl w:val="nil"/>
                  </w:tcBorders>
                  <w:noWrap/>
                  <w:vAlign w:val="center"/>
                </w:tcPr>
                <w:p>
                  <w:pPr>
                    <w:jc w:val="center"/>
                    <w:rPr>
                      <w:color w:val="auto"/>
                      <w:sz w:val="18"/>
                      <w:szCs w:val="18"/>
                    </w:rPr>
                  </w:pPr>
                  <w:r>
                    <w:rPr>
                      <w:color w:val="auto"/>
                      <w:sz w:val="18"/>
                      <w:szCs w:val="18"/>
                    </w:rPr>
                    <w:t>60.94</w:t>
                  </w:r>
                </w:p>
              </w:tc>
              <w:tc>
                <w:tcPr>
                  <w:tcW w:w="730" w:type="pct"/>
                  <w:tcBorders>
                    <w:tl2br w:val="nil"/>
                    <w:tr2bl w:val="nil"/>
                  </w:tcBorders>
                  <w:noWrap/>
                  <w:vAlign w:val="center"/>
                </w:tcPr>
                <w:p>
                  <w:pPr>
                    <w:jc w:val="center"/>
                    <w:rPr>
                      <w:color w:val="auto"/>
                      <w:sz w:val="18"/>
                      <w:szCs w:val="18"/>
                    </w:rPr>
                  </w:pPr>
                  <w:r>
                    <w:rPr>
                      <w:color w:val="auto"/>
                      <w:sz w:val="18"/>
                      <w:szCs w:val="18"/>
                    </w:rPr>
                    <w:t>4.85</w:t>
                  </w:r>
                </w:p>
              </w:tc>
              <w:tc>
                <w:tcPr>
                  <w:tcW w:w="921" w:type="pct"/>
                  <w:tcBorders>
                    <w:tl2br w:val="nil"/>
                    <w:tr2bl w:val="nil"/>
                  </w:tcBorders>
                  <w:noWrap/>
                  <w:vAlign w:val="center"/>
                </w:tcPr>
                <w:p>
                  <w:pPr>
                    <w:jc w:val="center"/>
                    <w:rPr>
                      <w:color w:val="auto"/>
                      <w:sz w:val="18"/>
                      <w:szCs w:val="18"/>
                    </w:rPr>
                  </w:pPr>
                </w:p>
              </w:tc>
              <w:tc>
                <w:tcPr>
                  <w:tcW w:w="386" w:type="pct"/>
                  <w:tcBorders>
                    <w:tl2br w:val="nil"/>
                    <w:tr2bl w:val="nil"/>
                  </w:tcBorders>
                  <w:noWrap/>
                  <w:vAlign w:val="center"/>
                </w:tcPr>
                <w:p>
                  <w:pPr>
                    <w:jc w:val="center"/>
                    <w:rPr>
                      <w:color w:val="auto"/>
                      <w:sz w:val="18"/>
                      <w:szCs w:val="18"/>
                    </w:rPr>
                  </w:pPr>
                </w:p>
              </w:tc>
            </w:tr>
          </w:tbl>
          <w:p>
            <w:pPr>
              <w:pStyle w:val="4"/>
              <w:numPr>
                <w:ilvl w:val="1"/>
                <w:numId w:val="0"/>
              </w:numPr>
              <w:spacing w:line="360" w:lineRule="auto"/>
              <w:rPr>
                <w:rFonts w:eastAsia="宋体"/>
                <w:b/>
                <w:color w:val="auto"/>
                <w:kern w:val="2"/>
                <w:sz w:val="24"/>
                <w:szCs w:val="24"/>
              </w:rPr>
            </w:pPr>
            <w:bookmarkStart w:id="90" w:name="_Toc77924653"/>
            <w:bookmarkStart w:id="91" w:name="_Toc5728"/>
            <w:r>
              <w:rPr>
                <w:rFonts w:hint="eastAsia"/>
                <w:b/>
                <w:bCs/>
                <w:color w:val="auto"/>
                <w:sz w:val="24"/>
              </w:rPr>
              <w:t>2.</w:t>
            </w:r>
            <w:r>
              <w:rPr>
                <w:b/>
                <w:bCs/>
                <w:color w:val="auto"/>
                <w:sz w:val="24"/>
              </w:rPr>
              <w:t>2.6</w:t>
            </w:r>
            <w:r>
              <w:rPr>
                <w:rFonts w:hint="eastAsia" w:eastAsia="宋体"/>
                <w:b/>
                <w:color w:val="auto"/>
                <w:kern w:val="2"/>
                <w:sz w:val="24"/>
                <w:szCs w:val="24"/>
              </w:rPr>
              <w:t>设计洪水位的复核</w:t>
            </w:r>
          </w:p>
          <w:p>
            <w:pPr>
              <w:pStyle w:val="4"/>
              <w:numPr>
                <w:ilvl w:val="1"/>
                <w:numId w:val="0"/>
              </w:numPr>
              <w:spacing w:line="360" w:lineRule="auto"/>
              <w:rPr>
                <w:rFonts w:eastAsia="宋体"/>
                <w:b/>
                <w:color w:val="auto"/>
                <w:kern w:val="2"/>
                <w:sz w:val="24"/>
                <w:szCs w:val="24"/>
              </w:rPr>
            </w:pPr>
            <w:r>
              <w:rPr>
                <w:rFonts w:hint="eastAsia"/>
                <w:b/>
                <w:bCs/>
                <w:color w:val="auto"/>
                <w:sz w:val="24"/>
              </w:rPr>
              <w:t>2.</w:t>
            </w:r>
            <w:r>
              <w:rPr>
                <w:b/>
                <w:bCs/>
                <w:color w:val="auto"/>
                <w:sz w:val="24"/>
              </w:rPr>
              <w:t>2.6</w:t>
            </w:r>
            <w:r>
              <w:rPr>
                <w:rFonts w:hint="eastAsia" w:eastAsia="宋体"/>
                <w:b/>
                <w:color w:val="auto"/>
                <w:kern w:val="2"/>
                <w:sz w:val="24"/>
                <w:szCs w:val="24"/>
              </w:rPr>
              <w:t>.1王洼二矿井口设计洪水位的复核</w:t>
            </w:r>
            <w:bookmarkEnd w:id="90"/>
            <w:bookmarkEnd w:id="91"/>
          </w:p>
          <w:p>
            <w:pPr>
              <w:spacing w:line="360" w:lineRule="auto"/>
              <w:ind w:firstLine="480" w:firstLineChars="200"/>
              <w:rPr>
                <w:color w:val="auto"/>
                <w:sz w:val="24"/>
              </w:rPr>
            </w:pPr>
            <w:r>
              <w:rPr>
                <w:rFonts w:hint="eastAsia"/>
                <w:color w:val="auto"/>
                <w:sz w:val="24"/>
              </w:rPr>
              <w:t>王洼二矿已建矸石场左岸台地建有王洼二矿主斜井和副立井，右岸台地建有王洼二矿斜风井。三个矿井口所在沟道断面位置临近，防洪标准为100年，校核标准为300年。经断面过洪能力复核，在已建填埋体的基础上，矿井口位置的过洪能力远大于其300年校核标准79m</w:t>
            </w:r>
            <w:r>
              <w:rPr>
                <w:rFonts w:hint="eastAsia"/>
                <w:color w:val="auto"/>
                <w:sz w:val="24"/>
                <w:vertAlign w:val="superscript"/>
              </w:rPr>
              <w:t>3</w:t>
            </w:r>
            <w:r>
              <w:rPr>
                <w:rFonts w:hint="eastAsia"/>
                <w:color w:val="auto"/>
                <w:sz w:val="24"/>
              </w:rPr>
              <w:t>/s，因此本项目建设对井口影响很小。矿井口位置过洪能力复核计算见附表</w:t>
            </w:r>
            <w:r>
              <w:rPr>
                <w:color w:val="auto"/>
                <w:sz w:val="24"/>
              </w:rPr>
              <w:t>2</w:t>
            </w:r>
            <w:r>
              <w:rPr>
                <w:rFonts w:hint="eastAsia"/>
                <w:color w:val="auto"/>
                <w:sz w:val="24"/>
              </w:rPr>
              <w:t>。井口断面示意见图2-</w:t>
            </w:r>
            <w:r>
              <w:rPr>
                <w:color w:val="auto"/>
                <w:sz w:val="24"/>
              </w:rPr>
              <w:t>11</w:t>
            </w:r>
            <w:r>
              <w:rPr>
                <w:rFonts w:hint="eastAsia"/>
                <w:color w:val="auto"/>
                <w:sz w:val="24"/>
              </w:rPr>
              <w:t>及附图5。</w:t>
            </w:r>
          </w:p>
          <w:p>
            <w:pPr>
              <w:jc w:val="center"/>
              <w:rPr>
                <w:color w:val="auto"/>
              </w:rPr>
            </w:pPr>
            <w:r>
              <w:rPr>
                <w:color w:val="auto"/>
              </w:rPr>
              <w:drawing>
                <wp:inline distT="0" distB="0" distL="0" distR="0">
                  <wp:extent cx="5274310" cy="32251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5"/>
                          <a:stretch>
                            <a:fillRect/>
                          </a:stretch>
                        </pic:blipFill>
                        <pic:spPr>
                          <a:xfrm>
                            <a:off x="0" y="0"/>
                            <a:ext cx="5274310" cy="3225165"/>
                          </a:xfrm>
                          <a:prstGeom prst="rect">
                            <a:avLst/>
                          </a:prstGeom>
                        </pic:spPr>
                      </pic:pic>
                    </a:graphicData>
                  </a:graphic>
                </wp:inline>
              </w:drawing>
            </w:r>
          </w:p>
          <w:p>
            <w:pPr>
              <w:pStyle w:val="41"/>
              <w:widowControl w:val="0"/>
              <w:ind w:firstLine="0" w:firstLineChars="0"/>
              <w:jc w:val="center"/>
              <w:rPr>
                <w:color w:val="auto"/>
              </w:rPr>
            </w:pPr>
            <w:r>
              <w:rPr>
                <w:bCs w:val="0"/>
                <w:color w:val="auto"/>
              </w:rPr>
              <w:t xml:space="preserve">图2-11 </w:t>
            </w:r>
            <w:r>
              <w:rPr>
                <w:rFonts w:hint="eastAsia"/>
                <w:b/>
                <w:color w:val="auto"/>
              </w:rPr>
              <w:t xml:space="preserve">          矿井口位置及计算断面示意图</w:t>
            </w:r>
          </w:p>
          <w:p>
            <w:pPr>
              <w:pStyle w:val="4"/>
              <w:numPr>
                <w:ilvl w:val="1"/>
                <w:numId w:val="0"/>
              </w:numPr>
              <w:spacing w:line="360" w:lineRule="auto"/>
              <w:rPr>
                <w:rFonts w:eastAsia="宋体"/>
                <w:b/>
                <w:color w:val="auto"/>
                <w:kern w:val="2"/>
                <w:sz w:val="24"/>
                <w:szCs w:val="24"/>
              </w:rPr>
            </w:pPr>
            <w:r>
              <w:rPr>
                <w:rFonts w:hint="eastAsia"/>
                <w:b/>
                <w:bCs/>
                <w:color w:val="auto"/>
                <w:sz w:val="24"/>
              </w:rPr>
              <w:t>2.</w:t>
            </w:r>
            <w:r>
              <w:rPr>
                <w:b/>
                <w:bCs/>
                <w:color w:val="auto"/>
                <w:sz w:val="24"/>
              </w:rPr>
              <w:t>2.6</w:t>
            </w:r>
            <w:r>
              <w:rPr>
                <w:rFonts w:hint="eastAsia" w:eastAsia="宋体"/>
                <w:b/>
                <w:color w:val="auto"/>
                <w:kern w:val="2"/>
                <w:sz w:val="24"/>
                <w:szCs w:val="24"/>
              </w:rPr>
              <w:t>.2</w:t>
            </w:r>
            <w:bookmarkStart w:id="92" w:name="_Toc24983"/>
            <w:r>
              <w:rPr>
                <w:rFonts w:hint="eastAsia" w:eastAsia="宋体"/>
                <w:b/>
                <w:color w:val="auto"/>
                <w:kern w:val="2"/>
                <w:sz w:val="24"/>
                <w:szCs w:val="24"/>
              </w:rPr>
              <w:t>王洼二矿矸石场底部涵管泄洪能力的复核</w:t>
            </w:r>
            <w:bookmarkEnd w:id="92"/>
          </w:p>
          <w:p>
            <w:pPr>
              <w:spacing w:line="360" w:lineRule="auto"/>
              <w:ind w:firstLine="480" w:firstLineChars="200"/>
              <w:rPr>
                <w:color w:val="auto"/>
                <w:sz w:val="24"/>
              </w:rPr>
            </w:pPr>
            <w:r>
              <w:rPr>
                <w:rFonts w:hint="eastAsia"/>
                <w:color w:val="auto"/>
                <w:sz w:val="24"/>
              </w:rPr>
              <w:t>经复核，矸石场底部敷设的两道DN1500镀锌波纹管最大过流能力为23.08m</w:t>
            </w:r>
            <w:r>
              <w:rPr>
                <w:rFonts w:hint="eastAsia"/>
                <w:color w:val="auto"/>
                <w:sz w:val="24"/>
                <w:vertAlign w:val="superscript"/>
              </w:rPr>
              <w:t>3</w:t>
            </w:r>
            <w:r>
              <w:rPr>
                <w:rFonts w:hint="eastAsia"/>
                <w:color w:val="auto"/>
                <w:sz w:val="24"/>
              </w:rPr>
              <w:t>/s，具体计算见表</w:t>
            </w:r>
            <w:r>
              <w:rPr>
                <w:color w:val="auto"/>
                <w:sz w:val="24"/>
              </w:rPr>
              <w:t>2</w:t>
            </w:r>
            <w:r>
              <w:rPr>
                <w:rFonts w:hint="eastAsia"/>
                <w:color w:val="auto"/>
                <w:sz w:val="24"/>
              </w:rPr>
              <w:t>-1</w:t>
            </w:r>
            <w:r>
              <w:rPr>
                <w:color w:val="auto"/>
                <w:sz w:val="24"/>
              </w:rPr>
              <w:t>7</w:t>
            </w:r>
            <w:r>
              <w:rPr>
                <w:rFonts w:hint="eastAsia"/>
                <w:color w:val="auto"/>
                <w:sz w:val="24"/>
              </w:rPr>
              <w:t>。</w:t>
            </w:r>
          </w:p>
          <w:p>
            <w:pPr>
              <w:ind w:firstLine="482" w:firstLineChars="200"/>
              <w:rPr>
                <w:b/>
                <w:bCs/>
                <w:color w:val="auto"/>
                <w:sz w:val="24"/>
                <w:szCs w:val="32"/>
              </w:rPr>
            </w:pPr>
            <w:r>
              <w:rPr>
                <w:rFonts w:hint="eastAsia"/>
                <w:b/>
                <w:bCs/>
                <w:color w:val="auto"/>
                <w:sz w:val="24"/>
                <w:szCs w:val="32"/>
              </w:rPr>
              <w:t>表</w:t>
            </w:r>
            <w:r>
              <w:rPr>
                <w:b/>
                <w:bCs/>
                <w:color w:val="auto"/>
                <w:sz w:val="24"/>
                <w:szCs w:val="32"/>
              </w:rPr>
              <w:t>2</w:t>
            </w:r>
            <w:r>
              <w:rPr>
                <w:rFonts w:hint="eastAsia"/>
                <w:b/>
                <w:bCs/>
                <w:color w:val="auto"/>
                <w:sz w:val="24"/>
                <w:szCs w:val="32"/>
              </w:rPr>
              <w:t>-1</w:t>
            </w:r>
            <w:r>
              <w:rPr>
                <w:b/>
                <w:bCs/>
                <w:color w:val="auto"/>
                <w:sz w:val="24"/>
                <w:szCs w:val="32"/>
              </w:rPr>
              <w:t>7</w:t>
            </w:r>
            <w:r>
              <w:rPr>
                <w:rFonts w:hint="eastAsia"/>
                <w:b/>
                <w:bCs/>
                <w:color w:val="auto"/>
                <w:sz w:val="24"/>
                <w:szCs w:val="32"/>
              </w:rPr>
              <w:t xml:space="preserve">       </w:t>
            </w:r>
            <w:r>
              <w:rPr>
                <w:b/>
                <w:bCs/>
                <w:color w:val="auto"/>
                <w:sz w:val="24"/>
                <w:szCs w:val="32"/>
              </w:rPr>
              <w:t xml:space="preserve">             </w:t>
            </w:r>
            <w:r>
              <w:rPr>
                <w:rFonts w:hint="eastAsia"/>
                <w:b/>
                <w:bCs/>
                <w:color w:val="auto"/>
                <w:sz w:val="24"/>
                <w:szCs w:val="32"/>
              </w:rPr>
              <w:t>涵管过流能力复核</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65"/>
              <w:gridCol w:w="736"/>
              <w:gridCol w:w="1040"/>
              <w:gridCol w:w="672"/>
              <w:gridCol w:w="942"/>
              <w:gridCol w:w="1281"/>
              <w:gridCol w:w="942"/>
              <w:gridCol w:w="997"/>
              <w:gridCol w:w="8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trPr>
              <w:tc>
                <w:tcPr>
                  <w:tcW w:w="517" w:type="pct"/>
                  <w:shd w:val="clear" w:color="auto" w:fill="FFFFFF"/>
                  <w:noWrap/>
                  <w:vAlign w:val="center"/>
                </w:tcPr>
                <w:p>
                  <w:pPr>
                    <w:widowControl/>
                    <w:jc w:val="center"/>
                    <w:textAlignment w:val="center"/>
                    <w:rPr>
                      <w:b/>
                      <w:bCs/>
                      <w:color w:val="auto"/>
                      <w:kern w:val="0"/>
                      <w:szCs w:val="21"/>
                      <w:lang w:bidi="ar"/>
                    </w:rPr>
                  </w:pPr>
                  <w:r>
                    <w:rPr>
                      <w:b/>
                      <w:bCs/>
                      <w:color w:val="auto"/>
                      <w:kern w:val="0"/>
                      <w:szCs w:val="21"/>
                      <w:lang w:bidi="ar"/>
                    </w:rPr>
                    <w:t>半径(m)</w:t>
                  </w:r>
                </w:p>
              </w:tc>
              <w:tc>
                <w:tcPr>
                  <w:tcW w:w="440" w:type="pct"/>
                  <w:shd w:val="clear" w:color="auto" w:fill="FFFFFF"/>
                  <w:noWrap/>
                  <w:vAlign w:val="center"/>
                </w:tcPr>
                <w:p>
                  <w:pPr>
                    <w:widowControl/>
                    <w:jc w:val="center"/>
                    <w:textAlignment w:val="center"/>
                    <w:rPr>
                      <w:b/>
                      <w:bCs/>
                      <w:color w:val="auto"/>
                      <w:kern w:val="0"/>
                      <w:szCs w:val="21"/>
                      <w:lang w:bidi="ar"/>
                    </w:rPr>
                  </w:pPr>
                  <w:r>
                    <w:rPr>
                      <w:b/>
                      <w:bCs/>
                      <w:color w:val="auto"/>
                      <w:kern w:val="0"/>
                      <w:szCs w:val="21"/>
                      <w:lang w:bidi="ar"/>
                    </w:rPr>
                    <w:t>糙率</w:t>
                  </w:r>
                </w:p>
              </w:tc>
              <w:tc>
                <w:tcPr>
                  <w:tcW w:w="622" w:type="pct"/>
                  <w:shd w:val="clear" w:color="auto" w:fill="FFFFFF"/>
                  <w:noWrap/>
                  <w:vAlign w:val="center"/>
                </w:tcPr>
                <w:p>
                  <w:pPr>
                    <w:widowControl/>
                    <w:jc w:val="center"/>
                    <w:textAlignment w:val="center"/>
                    <w:rPr>
                      <w:b/>
                      <w:bCs/>
                      <w:color w:val="auto"/>
                      <w:kern w:val="0"/>
                      <w:szCs w:val="21"/>
                      <w:lang w:bidi="ar"/>
                    </w:rPr>
                  </w:pPr>
                  <w:r>
                    <w:rPr>
                      <w:b/>
                      <w:bCs/>
                      <w:color w:val="auto"/>
                      <w:kern w:val="0"/>
                      <w:szCs w:val="21"/>
                      <w:lang w:bidi="ar"/>
                    </w:rPr>
                    <w:t>流量(m</w:t>
                  </w:r>
                  <w:r>
                    <w:rPr>
                      <w:b/>
                      <w:bCs/>
                      <w:color w:val="auto"/>
                      <w:kern w:val="0"/>
                      <w:szCs w:val="21"/>
                      <w:vertAlign w:val="superscript"/>
                      <w:lang w:bidi="ar"/>
                    </w:rPr>
                    <w:t>3</w:t>
                  </w:r>
                  <w:r>
                    <w:rPr>
                      <w:b/>
                      <w:bCs/>
                      <w:color w:val="auto"/>
                      <w:kern w:val="0"/>
                      <w:szCs w:val="21"/>
                      <w:lang w:bidi="ar"/>
                    </w:rPr>
                    <w:t>/s)</w:t>
                  </w:r>
                </w:p>
              </w:tc>
              <w:tc>
                <w:tcPr>
                  <w:tcW w:w="402" w:type="pct"/>
                  <w:shd w:val="clear" w:color="auto" w:fill="FFFFFF"/>
                  <w:noWrap/>
                  <w:vAlign w:val="center"/>
                </w:tcPr>
                <w:p>
                  <w:pPr>
                    <w:widowControl/>
                    <w:jc w:val="center"/>
                    <w:textAlignment w:val="center"/>
                    <w:rPr>
                      <w:b/>
                      <w:bCs/>
                      <w:color w:val="auto"/>
                      <w:kern w:val="0"/>
                      <w:szCs w:val="21"/>
                      <w:lang w:bidi="ar"/>
                    </w:rPr>
                  </w:pPr>
                  <w:r>
                    <w:rPr>
                      <w:b/>
                      <w:bCs/>
                      <w:color w:val="auto"/>
                      <w:kern w:val="0"/>
                      <w:szCs w:val="21"/>
                      <w:lang w:bidi="ar"/>
                    </w:rPr>
                    <w:t>比降</w:t>
                  </w:r>
                </w:p>
              </w:tc>
              <w:tc>
                <w:tcPr>
                  <w:tcW w:w="564" w:type="pct"/>
                  <w:shd w:val="clear" w:color="auto" w:fill="FFFFFF"/>
                  <w:noWrap/>
                  <w:vAlign w:val="center"/>
                </w:tcPr>
                <w:p>
                  <w:pPr>
                    <w:widowControl/>
                    <w:jc w:val="center"/>
                    <w:textAlignment w:val="center"/>
                    <w:rPr>
                      <w:b/>
                      <w:bCs/>
                      <w:color w:val="auto"/>
                      <w:kern w:val="0"/>
                      <w:szCs w:val="21"/>
                      <w:lang w:bidi="ar"/>
                    </w:rPr>
                  </w:pPr>
                  <w:r>
                    <w:rPr>
                      <w:b/>
                      <w:bCs/>
                      <w:color w:val="auto"/>
                      <w:kern w:val="0"/>
                      <w:szCs w:val="21"/>
                      <w:lang w:bidi="ar"/>
                    </w:rPr>
                    <w:t>水深(m)</w:t>
                  </w:r>
                </w:p>
              </w:tc>
              <w:tc>
                <w:tcPr>
                  <w:tcW w:w="767" w:type="pct"/>
                  <w:shd w:val="clear" w:color="auto" w:fill="FFFFFF"/>
                  <w:noWrap/>
                  <w:vAlign w:val="center"/>
                </w:tcPr>
                <w:p>
                  <w:pPr>
                    <w:widowControl/>
                    <w:jc w:val="center"/>
                    <w:textAlignment w:val="center"/>
                    <w:rPr>
                      <w:b/>
                      <w:bCs/>
                      <w:color w:val="auto"/>
                      <w:kern w:val="0"/>
                      <w:szCs w:val="21"/>
                      <w:lang w:bidi="ar"/>
                    </w:rPr>
                  </w:pPr>
                  <w:r>
                    <w:rPr>
                      <w:b/>
                      <w:bCs/>
                      <w:color w:val="auto"/>
                      <w:kern w:val="0"/>
                      <w:szCs w:val="21"/>
                      <w:lang w:bidi="ar"/>
                    </w:rPr>
                    <w:t>过水面积(m</w:t>
                  </w:r>
                  <w:r>
                    <w:rPr>
                      <w:b/>
                      <w:bCs/>
                      <w:color w:val="auto"/>
                      <w:kern w:val="0"/>
                      <w:szCs w:val="21"/>
                      <w:vertAlign w:val="superscript"/>
                      <w:lang w:bidi="ar"/>
                    </w:rPr>
                    <w:t>2</w:t>
                  </w:r>
                  <w:r>
                    <w:rPr>
                      <w:b/>
                      <w:bCs/>
                      <w:color w:val="auto"/>
                      <w:kern w:val="0"/>
                      <w:szCs w:val="21"/>
                      <w:lang w:bidi="ar"/>
                    </w:rPr>
                    <w:t>)</w:t>
                  </w:r>
                </w:p>
              </w:tc>
              <w:tc>
                <w:tcPr>
                  <w:tcW w:w="564" w:type="pct"/>
                  <w:shd w:val="clear" w:color="auto" w:fill="FFFFFF"/>
                  <w:noWrap/>
                  <w:vAlign w:val="center"/>
                </w:tcPr>
                <w:p>
                  <w:pPr>
                    <w:widowControl/>
                    <w:jc w:val="center"/>
                    <w:textAlignment w:val="center"/>
                    <w:rPr>
                      <w:b/>
                      <w:bCs/>
                      <w:color w:val="auto"/>
                      <w:kern w:val="0"/>
                      <w:szCs w:val="21"/>
                      <w:lang w:bidi="ar"/>
                    </w:rPr>
                  </w:pPr>
                  <w:r>
                    <w:rPr>
                      <w:b/>
                      <w:bCs/>
                      <w:color w:val="auto"/>
                      <w:kern w:val="0"/>
                      <w:szCs w:val="21"/>
                      <w:lang w:bidi="ar"/>
                    </w:rPr>
                    <w:t>湿周(m)</w:t>
                  </w:r>
                </w:p>
              </w:tc>
              <w:tc>
                <w:tcPr>
                  <w:tcW w:w="597" w:type="pct"/>
                  <w:shd w:val="clear" w:color="auto" w:fill="FFFFFF"/>
                  <w:noWrap/>
                  <w:vAlign w:val="center"/>
                </w:tcPr>
                <w:p>
                  <w:pPr>
                    <w:widowControl/>
                    <w:jc w:val="center"/>
                    <w:textAlignment w:val="center"/>
                    <w:rPr>
                      <w:b/>
                      <w:bCs/>
                      <w:color w:val="auto"/>
                      <w:kern w:val="0"/>
                      <w:szCs w:val="21"/>
                      <w:lang w:bidi="ar"/>
                    </w:rPr>
                  </w:pPr>
                  <w:r>
                    <w:rPr>
                      <w:b/>
                      <w:bCs/>
                      <w:color w:val="auto"/>
                      <w:kern w:val="0"/>
                      <w:szCs w:val="21"/>
                      <w:lang w:bidi="ar"/>
                    </w:rPr>
                    <w:t>流速(m/s)</w:t>
                  </w:r>
                </w:p>
              </w:tc>
              <w:tc>
                <w:tcPr>
                  <w:tcW w:w="525" w:type="pct"/>
                  <w:shd w:val="clear" w:color="auto" w:fill="FFFFFF"/>
                  <w:noWrap/>
                  <w:vAlign w:val="center"/>
                </w:tcPr>
                <w:p>
                  <w:pPr>
                    <w:widowControl/>
                    <w:jc w:val="center"/>
                    <w:textAlignment w:val="center"/>
                    <w:rPr>
                      <w:b/>
                      <w:bCs/>
                      <w:color w:val="auto"/>
                      <w:kern w:val="0"/>
                      <w:szCs w:val="21"/>
                      <w:lang w:bidi="ar"/>
                    </w:rPr>
                  </w:pPr>
                  <w:r>
                    <w:rPr>
                      <w:b/>
                      <w:bCs/>
                      <w:color w:val="auto"/>
                      <w:kern w:val="0"/>
                      <w:szCs w:val="21"/>
                      <w:lang w:bidi="ar"/>
                    </w:rPr>
                    <w:t>充满度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7" w:type="pct"/>
                  <w:shd w:val="clear" w:color="auto" w:fill="FFFFFF"/>
                  <w:noWrap/>
                  <w:vAlign w:val="center"/>
                </w:tcPr>
                <w:p>
                  <w:pPr>
                    <w:widowControl/>
                    <w:jc w:val="center"/>
                    <w:textAlignment w:val="center"/>
                    <w:rPr>
                      <w:color w:val="auto"/>
                      <w:kern w:val="0"/>
                      <w:szCs w:val="21"/>
                      <w:lang w:bidi="ar"/>
                    </w:rPr>
                  </w:pPr>
                  <w:r>
                    <w:rPr>
                      <w:color w:val="auto"/>
                      <w:kern w:val="0"/>
                      <w:szCs w:val="21"/>
                      <w:lang w:bidi="ar"/>
                    </w:rPr>
                    <w:t>0.75</w:t>
                  </w:r>
                </w:p>
              </w:tc>
              <w:tc>
                <w:tcPr>
                  <w:tcW w:w="440" w:type="pct"/>
                  <w:shd w:val="clear" w:color="auto" w:fill="FFFFFF"/>
                  <w:noWrap/>
                  <w:vAlign w:val="center"/>
                </w:tcPr>
                <w:p>
                  <w:pPr>
                    <w:widowControl/>
                    <w:jc w:val="center"/>
                    <w:textAlignment w:val="center"/>
                    <w:rPr>
                      <w:color w:val="auto"/>
                      <w:kern w:val="0"/>
                      <w:szCs w:val="21"/>
                      <w:lang w:bidi="ar"/>
                    </w:rPr>
                  </w:pPr>
                  <w:r>
                    <w:rPr>
                      <w:color w:val="auto"/>
                      <w:kern w:val="0"/>
                      <w:szCs w:val="21"/>
                      <w:lang w:bidi="ar"/>
                    </w:rPr>
                    <w:t>0.01</w:t>
                  </w:r>
                </w:p>
              </w:tc>
              <w:tc>
                <w:tcPr>
                  <w:tcW w:w="622" w:type="pct"/>
                  <w:shd w:val="clear" w:color="auto" w:fill="FFFFFF"/>
                  <w:noWrap/>
                  <w:vAlign w:val="center"/>
                </w:tcPr>
                <w:p>
                  <w:pPr>
                    <w:widowControl/>
                    <w:jc w:val="center"/>
                    <w:textAlignment w:val="center"/>
                    <w:rPr>
                      <w:color w:val="auto"/>
                      <w:kern w:val="0"/>
                      <w:szCs w:val="21"/>
                      <w:lang w:bidi="ar"/>
                    </w:rPr>
                  </w:pPr>
                  <w:r>
                    <w:rPr>
                      <w:color w:val="auto"/>
                      <w:kern w:val="0"/>
                      <w:szCs w:val="21"/>
                      <w:lang w:bidi="ar"/>
                    </w:rPr>
                    <w:t>11.54</w:t>
                  </w:r>
                </w:p>
              </w:tc>
              <w:tc>
                <w:tcPr>
                  <w:tcW w:w="402" w:type="pct"/>
                  <w:shd w:val="clear" w:color="auto" w:fill="FFFFFF"/>
                  <w:noWrap/>
                  <w:vAlign w:val="center"/>
                </w:tcPr>
                <w:p>
                  <w:pPr>
                    <w:widowControl/>
                    <w:jc w:val="center"/>
                    <w:textAlignment w:val="center"/>
                    <w:rPr>
                      <w:color w:val="auto"/>
                      <w:kern w:val="0"/>
                      <w:szCs w:val="21"/>
                      <w:lang w:bidi="ar"/>
                    </w:rPr>
                  </w:pPr>
                  <w:r>
                    <w:rPr>
                      <w:color w:val="auto"/>
                      <w:kern w:val="0"/>
                      <w:szCs w:val="21"/>
                      <w:lang w:bidi="ar"/>
                    </w:rPr>
                    <w:t>0.02</w:t>
                  </w:r>
                </w:p>
              </w:tc>
              <w:tc>
                <w:tcPr>
                  <w:tcW w:w="564" w:type="pct"/>
                  <w:shd w:val="clear" w:color="auto" w:fill="FFFFFF"/>
                  <w:noWrap/>
                  <w:vAlign w:val="center"/>
                </w:tcPr>
                <w:p>
                  <w:pPr>
                    <w:widowControl/>
                    <w:jc w:val="center"/>
                    <w:textAlignment w:val="center"/>
                    <w:rPr>
                      <w:color w:val="auto"/>
                      <w:kern w:val="0"/>
                      <w:szCs w:val="21"/>
                      <w:lang w:bidi="ar"/>
                    </w:rPr>
                  </w:pPr>
                  <w:r>
                    <w:rPr>
                      <w:color w:val="auto"/>
                      <w:kern w:val="0"/>
                      <w:szCs w:val="21"/>
                      <w:lang w:bidi="ar"/>
                    </w:rPr>
                    <w:t>1.1</w:t>
                  </w:r>
                </w:p>
              </w:tc>
              <w:tc>
                <w:tcPr>
                  <w:tcW w:w="767" w:type="pct"/>
                  <w:shd w:val="clear" w:color="auto" w:fill="FFFFFF"/>
                  <w:noWrap/>
                  <w:vAlign w:val="center"/>
                </w:tcPr>
                <w:p>
                  <w:pPr>
                    <w:widowControl/>
                    <w:jc w:val="center"/>
                    <w:textAlignment w:val="center"/>
                    <w:rPr>
                      <w:color w:val="auto"/>
                      <w:kern w:val="0"/>
                      <w:szCs w:val="21"/>
                      <w:lang w:bidi="ar"/>
                    </w:rPr>
                  </w:pPr>
                  <w:r>
                    <w:rPr>
                      <w:color w:val="auto"/>
                      <w:kern w:val="0"/>
                      <w:szCs w:val="21"/>
                      <w:lang w:bidi="ar"/>
                    </w:rPr>
                    <w:t>1.39</w:t>
                  </w:r>
                </w:p>
              </w:tc>
              <w:tc>
                <w:tcPr>
                  <w:tcW w:w="564" w:type="pct"/>
                  <w:shd w:val="clear" w:color="auto" w:fill="FFFFFF"/>
                  <w:noWrap/>
                  <w:vAlign w:val="center"/>
                </w:tcPr>
                <w:p>
                  <w:pPr>
                    <w:widowControl/>
                    <w:jc w:val="center"/>
                    <w:textAlignment w:val="center"/>
                    <w:rPr>
                      <w:color w:val="auto"/>
                      <w:kern w:val="0"/>
                      <w:szCs w:val="21"/>
                      <w:lang w:bidi="ar"/>
                    </w:rPr>
                  </w:pPr>
                  <w:r>
                    <w:rPr>
                      <w:color w:val="auto"/>
                      <w:kern w:val="0"/>
                      <w:szCs w:val="21"/>
                      <w:lang w:bidi="ar"/>
                    </w:rPr>
                    <w:t>3.08</w:t>
                  </w:r>
                </w:p>
              </w:tc>
              <w:tc>
                <w:tcPr>
                  <w:tcW w:w="597" w:type="pct"/>
                  <w:shd w:val="clear" w:color="auto" w:fill="FFFFFF"/>
                  <w:noWrap/>
                  <w:vAlign w:val="center"/>
                </w:tcPr>
                <w:p>
                  <w:pPr>
                    <w:widowControl/>
                    <w:jc w:val="center"/>
                    <w:textAlignment w:val="center"/>
                    <w:rPr>
                      <w:color w:val="auto"/>
                      <w:kern w:val="0"/>
                      <w:szCs w:val="21"/>
                      <w:lang w:bidi="ar"/>
                    </w:rPr>
                  </w:pPr>
                  <w:r>
                    <w:rPr>
                      <w:color w:val="auto"/>
                      <w:kern w:val="0"/>
                      <w:szCs w:val="21"/>
                      <w:lang w:bidi="ar"/>
                    </w:rPr>
                    <w:t>8.31</w:t>
                  </w:r>
                </w:p>
              </w:tc>
              <w:tc>
                <w:tcPr>
                  <w:tcW w:w="525" w:type="pct"/>
                  <w:shd w:val="clear" w:color="auto" w:fill="FFFFFF"/>
                  <w:noWrap/>
                  <w:vAlign w:val="center"/>
                </w:tcPr>
                <w:p>
                  <w:pPr>
                    <w:widowControl/>
                    <w:jc w:val="center"/>
                    <w:textAlignment w:val="center"/>
                    <w:rPr>
                      <w:color w:val="auto"/>
                      <w:kern w:val="0"/>
                      <w:szCs w:val="21"/>
                      <w:lang w:bidi="ar"/>
                    </w:rPr>
                  </w:pPr>
                  <w:r>
                    <w:rPr>
                      <w:color w:val="auto"/>
                      <w:kern w:val="0"/>
                      <w:szCs w:val="21"/>
                      <w:lang w:bidi="ar"/>
                    </w:rPr>
                    <w:t>0.79</w:t>
                  </w:r>
                </w:p>
              </w:tc>
            </w:tr>
          </w:tbl>
          <w:p>
            <w:pPr>
              <w:spacing w:line="360" w:lineRule="auto"/>
              <w:ind w:firstLine="480" w:firstLineChars="200"/>
              <w:rPr>
                <w:color w:val="auto"/>
                <w:sz w:val="24"/>
              </w:rPr>
            </w:pPr>
            <w:r>
              <w:rPr>
                <w:rFonts w:hint="eastAsia"/>
                <w:color w:val="auto"/>
                <w:sz w:val="24"/>
              </w:rPr>
              <w:t>据表</w:t>
            </w:r>
            <w:r>
              <w:rPr>
                <w:color w:val="auto"/>
                <w:sz w:val="24"/>
              </w:rPr>
              <w:t>2</w:t>
            </w:r>
            <w:r>
              <w:rPr>
                <w:rFonts w:hint="eastAsia"/>
                <w:color w:val="auto"/>
                <w:sz w:val="24"/>
              </w:rPr>
              <w:t>-1</w:t>
            </w:r>
            <w:r>
              <w:rPr>
                <w:color w:val="auto"/>
                <w:sz w:val="24"/>
              </w:rPr>
              <w:t>7</w:t>
            </w:r>
            <w:r>
              <w:rPr>
                <w:rFonts w:hint="eastAsia"/>
                <w:color w:val="auto"/>
                <w:sz w:val="24"/>
              </w:rPr>
              <w:t>，项目区现状无排洪渠情况下，范新庄水库300年洪水最大下泄量为23.7m</w:t>
            </w:r>
            <w:r>
              <w:rPr>
                <w:rFonts w:hint="eastAsia"/>
                <w:color w:val="auto"/>
                <w:sz w:val="24"/>
                <w:vertAlign w:val="superscript"/>
              </w:rPr>
              <w:t>3</w:t>
            </w:r>
            <w:r>
              <w:rPr>
                <w:rFonts w:hint="eastAsia"/>
                <w:color w:val="auto"/>
                <w:sz w:val="24"/>
              </w:rPr>
              <w:t>/s，两道涵管总过流能力不能满足范新庄水库泄洪安全。</w:t>
            </w:r>
          </w:p>
          <w:p>
            <w:pPr>
              <w:spacing w:line="360" w:lineRule="auto"/>
              <w:ind w:firstLine="480" w:firstLineChars="200"/>
              <w:rPr>
                <w:color w:val="auto"/>
                <w:sz w:val="24"/>
              </w:rPr>
            </w:pPr>
            <w:r>
              <w:rPr>
                <w:rFonts w:hint="eastAsia"/>
                <w:color w:val="auto"/>
                <w:sz w:val="24"/>
              </w:rPr>
              <w:t>据表</w:t>
            </w:r>
            <w:r>
              <w:rPr>
                <w:color w:val="auto"/>
                <w:sz w:val="24"/>
              </w:rPr>
              <w:t>2</w:t>
            </w:r>
            <w:r>
              <w:rPr>
                <w:rFonts w:hint="eastAsia"/>
                <w:color w:val="auto"/>
                <w:sz w:val="24"/>
              </w:rPr>
              <w:t>-</w:t>
            </w:r>
            <w:r>
              <w:rPr>
                <w:color w:val="auto"/>
                <w:sz w:val="24"/>
              </w:rPr>
              <w:t>12</w:t>
            </w:r>
            <w:r>
              <w:rPr>
                <w:rFonts w:hint="eastAsia"/>
                <w:color w:val="auto"/>
                <w:sz w:val="24"/>
              </w:rPr>
              <w:t>，新建单侧排洪渠情况下，2道涵管处（王洼二矿路涵管断面）100年一遇洪水流量为4.97m</w:t>
            </w:r>
            <w:r>
              <w:rPr>
                <w:rFonts w:hint="eastAsia"/>
                <w:color w:val="auto"/>
                <w:sz w:val="24"/>
                <w:vertAlign w:val="superscript"/>
              </w:rPr>
              <w:t>3</w:t>
            </w:r>
            <w:r>
              <w:rPr>
                <w:rFonts w:hint="eastAsia"/>
                <w:color w:val="auto"/>
                <w:sz w:val="24"/>
              </w:rPr>
              <w:t>/s，两道涵管总过流能力满足控制区域防洪要求。</w:t>
            </w:r>
          </w:p>
          <w:bookmarkEnd w:id="23"/>
          <w:bookmarkEnd w:id="24"/>
          <w:bookmarkEnd w:id="25"/>
          <w:p>
            <w:pPr>
              <w:autoSpaceDE w:val="0"/>
              <w:autoSpaceDN w:val="0"/>
              <w:adjustRightInd w:val="0"/>
              <w:snapToGrid w:val="0"/>
              <w:spacing w:line="360" w:lineRule="auto"/>
              <w:outlineLvl w:val="1"/>
              <w:rPr>
                <w:b/>
                <w:bCs/>
                <w:color w:val="auto"/>
                <w:kern w:val="0"/>
                <w:sz w:val="24"/>
              </w:rPr>
            </w:pPr>
            <w:r>
              <w:rPr>
                <w:rFonts w:hint="eastAsia"/>
                <w:b/>
                <w:bCs/>
                <w:color w:val="auto"/>
                <w:kern w:val="0"/>
                <w:sz w:val="24"/>
              </w:rPr>
              <w:t>2.</w:t>
            </w:r>
            <w:r>
              <w:rPr>
                <w:b/>
                <w:bCs/>
                <w:color w:val="auto"/>
                <w:kern w:val="0"/>
                <w:sz w:val="24"/>
              </w:rPr>
              <w:t>2.</w:t>
            </w:r>
            <w:r>
              <w:rPr>
                <w:b/>
                <w:bCs/>
                <w:color w:val="auto"/>
                <w:sz w:val="24"/>
              </w:rPr>
              <w:t>7</w:t>
            </w:r>
            <w:r>
              <w:rPr>
                <w:b/>
                <w:bCs/>
                <w:color w:val="auto"/>
                <w:kern w:val="0"/>
                <w:sz w:val="24"/>
              </w:rPr>
              <w:t>公用工程</w:t>
            </w:r>
          </w:p>
          <w:p>
            <w:pPr>
              <w:autoSpaceDE w:val="0"/>
              <w:autoSpaceDN w:val="0"/>
              <w:adjustRightInd w:val="0"/>
              <w:snapToGrid w:val="0"/>
              <w:spacing w:line="360" w:lineRule="auto"/>
              <w:ind w:firstLine="482" w:firstLineChars="200"/>
              <w:rPr>
                <w:b/>
                <w:bCs/>
                <w:color w:val="auto"/>
                <w:kern w:val="0"/>
                <w:sz w:val="24"/>
                <w:highlight w:val="none"/>
              </w:rPr>
            </w:pPr>
            <w:r>
              <w:rPr>
                <w:rFonts w:hint="eastAsia"/>
                <w:b/>
                <w:bCs/>
                <w:color w:val="auto"/>
                <w:kern w:val="0"/>
                <w:sz w:val="24"/>
                <w:highlight w:val="none"/>
                <w:lang w:val="en-US" w:eastAsia="zh-CN"/>
              </w:rPr>
              <w:t>2.2.7.1</w:t>
            </w:r>
            <w:r>
              <w:rPr>
                <w:b/>
                <w:bCs/>
                <w:color w:val="auto"/>
                <w:kern w:val="0"/>
                <w:sz w:val="24"/>
                <w:highlight w:val="none"/>
              </w:rPr>
              <w:t>给</w:t>
            </w:r>
            <w:r>
              <w:rPr>
                <w:rFonts w:hint="eastAsia"/>
                <w:b/>
                <w:bCs/>
                <w:color w:val="auto"/>
                <w:kern w:val="0"/>
                <w:sz w:val="24"/>
                <w:highlight w:val="none"/>
                <w:lang w:eastAsia="zh-CN"/>
              </w:rPr>
              <w:t>排</w:t>
            </w:r>
            <w:r>
              <w:rPr>
                <w:b/>
                <w:bCs/>
                <w:color w:val="auto"/>
                <w:kern w:val="0"/>
                <w:sz w:val="24"/>
                <w:highlight w:val="none"/>
              </w:rPr>
              <w:t>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本工程</w:t>
            </w:r>
            <w:r>
              <w:rPr>
                <w:color w:val="auto"/>
                <w:sz w:val="24"/>
                <w:szCs w:val="24"/>
                <w:highlight w:val="none"/>
              </w:rPr>
              <w:t>无新增生活污水</w:t>
            </w:r>
            <w:r>
              <w:rPr>
                <w:rFonts w:hint="eastAsia"/>
                <w:color w:val="auto"/>
                <w:sz w:val="24"/>
                <w:szCs w:val="24"/>
                <w:highlight w:val="none"/>
                <w:lang w:eastAsia="zh-CN"/>
              </w:rPr>
              <w:t>；生产用水仅为混凝土砂石料加工用水，</w:t>
            </w:r>
            <w:r>
              <w:rPr>
                <w:rFonts w:hint="default"/>
                <w:color w:val="auto"/>
                <w:sz w:val="24"/>
                <w:szCs w:val="24"/>
                <w:highlight w:val="none"/>
                <w:lang w:val="en-US" w:eastAsia="zh-CN"/>
              </w:rPr>
              <w:t>砂石料加工冲洗水经沉淀处理后，可重新回用作为砂石料加工冲洗水</w:t>
            </w:r>
            <w:r>
              <w:rPr>
                <w:rFonts w:hint="eastAsia"/>
                <w:color w:val="auto"/>
                <w:sz w:val="24"/>
                <w:szCs w:val="24"/>
                <w:highlight w:val="none"/>
                <w:lang w:val="en-US" w:eastAsia="zh-CN"/>
              </w:rPr>
              <w:t>；</w:t>
            </w:r>
            <w:r>
              <w:rPr>
                <w:rFonts w:hint="eastAsia"/>
                <w:color w:val="auto"/>
                <w:sz w:val="24"/>
                <w:szCs w:val="24"/>
                <w:highlight w:val="none"/>
                <w:lang w:eastAsia="zh-CN"/>
              </w:rPr>
              <w:t>车辆清洗依托银洞沟煤矿现有设施，洗车废水经沉淀后回用，不外排。</w:t>
            </w:r>
          </w:p>
          <w:p>
            <w:pPr>
              <w:autoSpaceDE w:val="0"/>
              <w:autoSpaceDN w:val="0"/>
              <w:adjustRightInd w:val="0"/>
              <w:snapToGrid w:val="0"/>
              <w:spacing w:line="360" w:lineRule="auto"/>
              <w:ind w:firstLine="482" w:firstLineChars="200"/>
              <w:rPr>
                <w:b/>
                <w:bCs/>
                <w:color w:val="auto"/>
                <w:kern w:val="0"/>
                <w:sz w:val="24"/>
                <w:highlight w:val="none"/>
              </w:rPr>
            </w:pPr>
            <w:r>
              <w:rPr>
                <w:rFonts w:hint="eastAsia"/>
                <w:b/>
                <w:bCs/>
                <w:color w:val="auto"/>
                <w:kern w:val="0"/>
                <w:sz w:val="24"/>
                <w:highlight w:val="none"/>
                <w:lang w:val="en-US" w:eastAsia="zh-CN"/>
              </w:rPr>
              <w:t>2.2.7.2</w:t>
            </w:r>
            <w:r>
              <w:rPr>
                <w:b/>
                <w:bCs/>
                <w:color w:val="auto"/>
                <w:kern w:val="0"/>
                <w:sz w:val="24"/>
                <w:highlight w:val="none"/>
              </w:rPr>
              <w:t>其他</w:t>
            </w:r>
          </w:p>
          <w:p>
            <w:pPr>
              <w:adjustRightInd w:val="0"/>
              <w:snapToGrid w:val="0"/>
              <w:spacing w:line="360" w:lineRule="auto"/>
              <w:ind w:firstLine="480" w:firstLineChars="200"/>
              <w:jc w:val="left"/>
              <w:rPr>
                <w:color w:val="auto"/>
                <w:sz w:val="24"/>
              </w:rPr>
            </w:pPr>
            <w:r>
              <w:rPr>
                <w:color w:val="auto"/>
                <w:sz w:val="24"/>
              </w:rPr>
              <w:t>项目</w:t>
            </w:r>
            <w:r>
              <w:rPr>
                <w:rFonts w:hint="eastAsia"/>
                <w:color w:val="auto"/>
                <w:sz w:val="24"/>
              </w:rPr>
              <w:t>运行期间的日常巡查及维护由王洼二矿职工统一调配，不涉及</w:t>
            </w:r>
            <w:r>
              <w:rPr>
                <w:color w:val="auto"/>
                <w:sz w:val="24"/>
              </w:rPr>
              <w:t>食宿、生活办公区，无供暖供气供电等公用工程。</w:t>
            </w:r>
          </w:p>
          <w:p>
            <w:pPr>
              <w:autoSpaceDE w:val="0"/>
              <w:autoSpaceDN w:val="0"/>
              <w:adjustRightInd w:val="0"/>
              <w:snapToGrid w:val="0"/>
              <w:spacing w:line="360" w:lineRule="auto"/>
              <w:outlineLvl w:val="1"/>
              <w:rPr>
                <w:b/>
                <w:bCs/>
                <w:color w:val="auto"/>
                <w:kern w:val="0"/>
                <w:sz w:val="24"/>
              </w:rPr>
            </w:pPr>
            <w:r>
              <w:rPr>
                <w:rFonts w:hint="eastAsia"/>
                <w:b/>
                <w:bCs/>
                <w:color w:val="auto"/>
                <w:kern w:val="0"/>
                <w:sz w:val="24"/>
              </w:rPr>
              <w:t>2.</w:t>
            </w:r>
            <w:r>
              <w:rPr>
                <w:b/>
                <w:bCs/>
                <w:color w:val="auto"/>
                <w:kern w:val="0"/>
                <w:sz w:val="24"/>
              </w:rPr>
              <w:t>2.</w:t>
            </w:r>
            <w:r>
              <w:rPr>
                <w:b/>
                <w:bCs/>
                <w:color w:val="auto"/>
                <w:sz w:val="24"/>
              </w:rPr>
              <w:t>8</w:t>
            </w:r>
            <w:r>
              <w:rPr>
                <w:b/>
                <w:bCs/>
                <w:color w:val="auto"/>
                <w:kern w:val="0"/>
                <w:sz w:val="24"/>
              </w:rPr>
              <w:t>劳动定员及工作制度</w:t>
            </w:r>
          </w:p>
          <w:p>
            <w:pPr>
              <w:adjustRightInd w:val="0"/>
              <w:snapToGrid w:val="0"/>
              <w:spacing w:line="360" w:lineRule="auto"/>
              <w:ind w:firstLine="480" w:firstLineChars="200"/>
              <w:jc w:val="left"/>
              <w:rPr>
                <w:color w:val="auto"/>
                <w:sz w:val="24"/>
              </w:rPr>
            </w:pPr>
            <w:r>
              <w:rPr>
                <w:color w:val="auto"/>
                <w:sz w:val="24"/>
              </w:rPr>
              <w:t>本项目工作人员安排由建设单位从</w:t>
            </w:r>
            <w:r>
              <w:rPr>
                <w:rFonts w:hint="eastAsia"/>
                <w:color w:val="auto"/>
                <w:sz w:val="24"/>
                <w:lang w:eastAsia="zh-CN"/>
              </w:rPr>
              <w:t>王洼二矿</w:t>
            </w:r>
            <w:r>
              <w:rPr>
                <w:color w:val="auto"/>
                <w:sz w:val="24"/>
              </w:rPr>
              <w:t>统一调配，不新增劳动人员。本项目生态治理区矸石回填及防洪设施建设工作仅在白天开展，为阶段性施工，年工作天数330d，本次不再增设办公、生活设施，工作人员食宿由所在煤矿进行解决。</w:t>
            </w:r>
          </w:p>
          <w:p>
            <w:pPr>
              <w:autoSpaceDE w:val="0"/>
              <w:autoSpaceDN w:val="0"/>
              <w:adjustRightInd w:val="0"/>
              <w:snapToGrid w:val="0"/>
              <w:spacing w:line="360" w:lineRule="auto"/>
              <w:outlineLvl w:val="1"/>
              <w:rPr>
                <w:b/>
                <w:bCs/>
                <w:color w:val="auto"/>
                <w:kern w:val="0"/>
                <w:sz w:val="24"/>
              </w:rPr>
            </w:pPr>
            <w:r>
              <w:rPr>
                <w:rFonts w:hint="eastAsia"/>
                <w:b/>
                <w:bCs/>
                <w:color w:val="auto"/>
                <w:kern w:val="0"/>
                <w:sz w:val="24"/>
              </w:rPr>
              <w:t>2.</w:t>
            </w:r>
            <w:r>
              <w:rPr>
                <w:b/>
                <w:bCs/>
                <w:color w:val="auto"/>
                <w:kern w:val="0"/>
                <w:sz w:val="24"/>
              </w:rPr>
              <w:t>2.</w:t>
            </w:r>
            <w:r>
              <w:rPr>
                <w:b/>
                <w:bCs/>
                <w:color w:val="auto"/>
                <w:sz w:val="24"/>
              </w:rPr>
              <w:t>9</w:t>
            </w:r>
            <w:r>
              <w:rPr>
                <w:b/>
                <w:bCs/>
                <w:color w:val="auto"/>
                <w:kern w:val="0"/>
                <w:sz w:val="24"/>
              </w:rPr>
              <w:t>项目占地及土石方平衡</w:t>
            </w:r>
          </w:p>
          <w:p>
            <w:pPr>
              <w:adjustRightInd w:val="0"/>
              <w:snapToGrid w:val="0"/>
              <w:spacing w:line="360" w:lineRule="auto"/>
              <w:ind w:firstLine="480" w:firstLineChars="200"/>
              <w:jc w:val="left"/>
              <w:rPr>
                <w:color w:val="auto"/>
                <w:sz w:val="24"/>
              </w:rPr>
            </w:pPr>
            <w:r>
              <w:rPr>
                <w:rFonts w:hint="eastAsia"/>
                <w:color w:val="auto"/>
                <w:sz w:val="24"/>
              </w:rPr>
              <w:t>(</w:t>
            </w:r>
            <w:r>
              <w:rPr>
                <w:color w:val="auto"/>
                <w:sz w:val="24"/>
              </w:rPr>
              <w:t>1)</w:t>
            </w:r>
            <w:r>
              <w:rPr>
                <w:rFonts w:hint="eastAsia"/>
                <w:color w:val="auto"/>
                <w:sz w:val="24"/>
              </w:rPr>
              <w:t>项目占地</w:t>
            </w:r>
          </w:p>
          <w:p>
            <w:pPr>
              <w:adjustRightInd w:val="0"/>
              <w:snapToGrid w:val="0"/>
              <w:spacing w:line="360" w:lineRule="auto"/>
              <w:ind w:firstLine="480" w:firstLineChars="200"/>
              <w:jc w:val="left"/>
              <w:rPr>
                <w:color w:val="auto"/>
                <w:sz w:val="24"/>
              </w:rPr>
            </w:pPr>
            <w:r>
              <w:rPr>
                <w:rFonts w:hint="eastAsia"/>
                <w:color w:val="auto"/>
                <w:sz w:val="24"/>
              </w:rPr>
              <w:t>本项目在现有矸石场及沟道岸坡治理工程顶部建设，主要为排洪渠明渠段、陡坡、消力池段占地，工程永久占地1</w:t>
            </w:r>
            <w:r>
              <w:rPr>
                <w:color w:val="auto"/>
                <w:sz w:val="24"/>
              </w:rPr>
              <w:t>.8</w:t>
            </w:r>
            <w:r>
              <w:rPr>
                <w:rFonts w:hint="eastAsia"/>
                <w:color w:val="auto"/>
                <w:sz w:val="24"/>
              </w:rPr>
              <w:t>hm</w:t>
            </w:r>
            <w:r>
              <w:rPr>
                <w:color w:val="auto"/>
                <w:sz w:val="24"/>
                <w:vertAlign w:val="superscript"/>
              </w:rPr>
              <w:t>2</w:t>
            </w:r>
            <w:r>
              <w:rPr>
                <w:rFonts w:hint="eastAsia"/>
                <w:color w:val="auto"/>
                <w:sz w:val="24"/>
              </w:rPr>
              <w:t>（</w:t>
            </w:r>
            <w:r>
              <w:rPr>
                <w:color w:val="auto"/>
                <w:sz w:val="24"/>
              </w:rPr>
              <w:t>27</w:t>
            </w:r>
            <w:r>
              <w:rPr>
                <w:rFonts w:hint="eastAsia"/>
                <w:color w:val="auto"/>
                <w:sz w:val="24"/>
              </w:rPr>
              <w:t>亩），全部为荒地。施工人员食宿及车辆停放依托王洼二矿，临时用地主要包括沿明渠临时道路、临时堆土场地等，占地0</w:t>
            </w:r>
            <w:r>
              <w:rPr>
                <w:color w:val="auto"/>
                <w:sz w:val="24"/>
              </w:rPr>
              <w:t>.2</w:t>
            </w:r>
            <w:r>
              <w:rPr>
                <w:rFonts w:hint="eastAsia"/>
                <w:color w:val="auto"/>
                <w:sz w:val="24"/>
              </w:rPr>
              <w:t>hm</w:t>
            </w:r>
            <w:r>
              <w:rPr>
                <w:color w:val="auto"/>
                <w:sz w:val="24"/>
                <w:vertAlign w:val="superscript"/>
              </w:rPr>
              <w:t>2</w:t>
            </w:r>
            <w:r>
              <w:rPr>
                <w:rFonts w:hint="eastAsia"/>
                <w:color w:val="auto"/>
                <w:sz w:val="24"/>
              </w:rPr>
              <w:t>（3亩）。</w:t>
            </w:r>
          </w:p>
          <w:p>
            <w:pPr>
              <w:adjustRightInd w:val="0"/>
              <w:snapToGrid w:val="0"/>
              <w:spacing w:line="360" w:lineRule="auto"/>
              <w:ind w:firstLine="480" w:firstLineChars="200"/>
              <w:jc w:val="left"/>
              <w:rPr>
                <w:color w:val="auto"/>
                <w:sz w:val="24"/>
              </w:rPr>
            </w:pPr>
            <w:r>
              <w:rPr>
                <w:rFonts w:hint="eastAsia"/>
                <w:color w:val="auto"/>
                <w:sz w:val="24"/>
              </w:rPr>
              <w:t>(</w:t>
            </w:r>
            <w:r>
              <w:rPr>
                <w:color w:val="auto"/>
                <w:sz w:val="24"/>
              </w:rPr>
              <w:t>2)土石方</w:t>
            </w:r>
            <w:r>
              <w:rPr>
                <w:rFonts w:hint="eastAsia"/>
                <w:color w:val="auto"/>
                <w:sz w:val="24"/>
              </w:rPr>
              <w:t>平衡</w:t>
            </w:r>
          </w:p>
          <w:p>
            <w:pPr>
              <w:adjustRightInd w:val="0"/>
              <w:snapToGrid w:val="0"/>
              <w:spacing w:line="360" w:lineRule="auto"/>
              <w:ind w:firstLine="480" w:firstLineChars="200"/>
              <w:jc w:val="left"/>
              <w:rPr>
                <w:color w:val="auto"/>
                <w:sz w:val="24"/>
              </w:rPr>
            </w:pPr>
            <w:r>
              <w:rPr>
                <w:color w:val="auto"/>
                <w:sz w:val="24"/>
              </w:rPr>
              <w:t>项目场地表土剥离、平整开挖清理过程中产生土方，临时存放于生态治理区</w:t>
            </w:r>
            <w:r>
              <w:rPr>
                <w:rFonts w:hint="eastAsia"/>
                <w:color w:val="auto"/>
                <w:sz w:val="24"/>
              </w:rPr>
              <w:t>范围内</w:t>
            </w:r>
            <w:r>
              <w:rPr>
                <w:color w:val="auto"/>
                <w:sz w:val="24"/>
              </w:rPr>
              <w:t>，</w:t>
            </w:r>
            <w:r>
              <w:rPr>
                <w:rFonts w:hint="eastAsia"/>
                <w:color w:val="auto"/>
                <w:sz w:val="24"/>
              </w:rPr>
              <w:t>采取边堆放边利用的方式</w:t>
            </w:r>
            <w:r>
              <w:rPr>
                <w:color w:val="auto"/>
                <w:sz w:val="24"/>
              </w:rPr>
              <w:t>，这些土方用于填充区矸石隔离覆土和生态恢复覆土，做到土石方平衡，土石方平衡表见表2-18，土石方平衡见图2-12。</w:t>
            </w:r>
          </w:p>
          <w:p>
            <w:pPr>
              <w:adjustRightInd w:val="0"/>
              <w:snapToGrid w:val="0"/>
              <w:ind w:firstLine="723" w:firstLineChars="300"/>
              <w:rPr>
                <w:b/>
                <w:bCs/>
                <w:color w:val="auto"/>
                <w:sz w:val="24"/>
                <w:vertAlign w:val="superscript"/>
              </w:rPr>
            </w:pPr>
            <w:r>
              <w:rPr>
                <w:b/>
                <w:bCs/>
                <w:color w:val="auto"/>
                <w:sz w:val="24"/>
              </w:rPr>
              <w:t xml:space="preserve">表2-18    </w:t>
            </w:r>
            <w:r>
              <w:rPr>
                <w:b/>
                <w:bCs/>
                <w:color w:val="auto"/>
                <w:szCs w:val="21"/>
              </w:rPr>
              <w:t xml:space="preserve">          </w:t>
            </w:r>
            <w:r>
              <w:rPr>
                <w:b/>
                <w:bCs/>
                <w:color w:val="auto"/>
                <w:sz w:val="24"/>
              </w:rPr>
              <w:t>土石方平衡表          单位：万m</w:t>
            </w:r>
            <w:r>
              <w:rPr>
                <w:b/>
                <w:bCs/>
                <w:color w:val="auto"/>
                <w:sz w:val="24"/>
                <w:vertAlign w:val="superscript"/>
              </w:rPr>
              <w:t>3</w:t>
            </w:r>
          </w:p>
          <w:tbl>
            <w:tblPr>
              <w:tblStyle w:val="19"/>
              <w:tblW w:w="8296"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709"/>
              <w:gridCol w:w="2086"/>
              <w:gridCol w:w="813"/>
              <w:gridCol w:w="865"/>
              <w:gridCol w:w="848"/>
              <w:gridCol w:w="917"/>
              <w:gridCol w:w="205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b/>
                      <w:bCs/>
                      <w:color w:val="auto"/>
                      <w:szCs w:val="21"/>
                    </w:rPr>
                  </w:pPr>
                  <w:r>
                    <w:rPr>
                      <w:b/>
                      <w:bCs/>
                      <w:color w:val="auto"/>
                      <w:kern w:val="0"/>
                      <w:szCs w:val="21"/>
                      <w:lang w:bidi="ar"/>
                    </w:rPr>
                    <w:t>编号</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b/>
                      <w:bCs/>
                      <w:color w:val="auto"/>
                      <w:szCs w:val="21"/>
                    </w:rPr>
                  </w:pPr>
                  <w:r>
                    <w:rPr>
                      <w:b/>
                      <w:bCs/>
                      <w:color w:val="auto"/>
                      <w:kern w:val="0"/>
                      <w:szCs w:val="21"/>
                      <w:lang w:bidi="ar"/>
                    </w:rPr>
                    <w:t>项目</w:t>
                  </w: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b/>
                      <w:bCs/>
                      <w:color w:val="auto"/>
                      <w:szCs w:val="21"/>
                    </w:rPr>
                  </w:pPr>
                  <w:r>
                    <w:rPr>
                      <w:b/>
                      <w:bCs/>
                      <w:color w:val="auto"/>
                      <w:kern w:val="0"/>
                      <w:szCs w:val="21"/>
                      <w:lang w:bidi="ar"/>
                    </w:rPr>
                    <w:t>挖方量</w:t>
                  </w: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b/>
                      <w:bCs/>
                      <w:color w:val="auto"/>
                      <w:szCs w:val="21"/>
                    </w:rPr>
                  </w:pPr>
                  <w:r>
                    <w:rPr>
                      <w:b/>
                      <w:bCs/>
                      <w:color w:val="auto"/>
                      <w:kern w:val="0"/>
                      <w:szCs w:val="21"/>
                      <w:lang w:bidi="ar"/>
                    </w:rPr>
                    <w:t>填方量</w:t>
                  </w: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b/>
                      <w:bCs/>
                      <w:color w:val="auto"/>
                      <w:szCs w:val="21"/>
                    </w:rPr>
                  </w:pPr>
                  <w:r>
                    <w:rPr>
                      <w:b/>
                      <w:bCs/>
                      <w:color w:val="auto"/>
                      <w:kern w:val="0"/>
                      <w:szCs w:val="21"/>
                      <w:lang w:bidi="ar"/>
                    </w:rPr>
                    <w:t>借方</w:t>
                  </w: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b/>
                      <w:bCs/>
                      <w:color w:val="auto"/>
                      <w:szCs w:val="21"/>
                    </w:rPr>
                  </w:pPr>
                  <w:r>
                    <w:rPr>
                      <w:rFonts w:hint="eastAsia"/>
                      <w:b/>
                      <w:bCs/>
                      <w:color w:val="auto"/>
                      <w:szCs w:val="21"/>
                    </w:rPr>
                    <w:t>弃方</w:t>
                  </w:r>
                </w:p>
              </w:tc>
              <w:tc>
                <w:tcPr>
                  <w:tcW w:w="2058" w:type="dxa"/>
                  <w:shd w:val="clear" w:color="auto" w:fill="auto"/>
                  <w:noWrap/>
                  <w:tcMar>
                    <w:top w:w="15" w:type="dxa"/>
                    <w:left w:w="15" w:type="dxa"/>
                    <w:right w:w="15" w:type="dxa"/>
                  </w:tcMar>
                  <w:vAlign w:val="center"/>
                </w:tcPr>
                <w:p>
                  <w:pPr>
                    <w:widowControl/>
                    <w:adjustRightInd w:val="0"/>
                    <w:snapToGrid w:val="0"/>
                    <w:jc w:val="center"/>
                    <w:textAlignment w:val="center"/>
                    <w:rPr>
                      <w:b/>
                      <w:bCs/>
                      <w:color w:val="auto"/>
                      <w:szCs w:val="21"/>
                    </w:rPr>
                  </w:pPr>
                  <w:r>
                    <w:rPr>
                      <w:b/>
                      <w:bCs/>
                      <w:color w:val="auto"/>
                      <w:kern w:val="0"/>
                      <w:szCs w:val="21"/>
                      <w:lang w:bidi="ar"/>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①</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排洪渠进口段</w:t>
                  </w: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521.24</w:t>
                  </w: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207.08</w:t>
                  </w: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color w:val="auto"/>
                      <w:kern w:val="0"/>
                      <w:szCs w:val="21"/>
                      <w:lang w:bidi="ar"/>
                    </w:rPr>
                    <w:t>0</w:t>
                  </w: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r>
                    <w:rPr>
                      <w:color w:val="auto"/>
                      <w:kern w:val="0"/>
                      <w:szCs w:val="21"/>
                      <w:lang w:bidi="ar"/>
                    </w:rPr>
                    <w:t>产生的余方去</w:t>
                  </w:r>
                  <w:r>
                    <w:rPr>
                      <w:rFonts w:hint="eastAsia" w:ascii="宋体" w:hAnsi="宋体" w:cs="宋体"/>
                      <w:color w:val="auto"/>
                      <w:kern w:val="0"/>
                      <w:szCs w:val="21"/>
                      <w:lang w:bidi="ar"/>
                    </w:rPr>
                    <w:t>⑦⑧⑨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②</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排洪渠涵洞段</w:t>
                  </w: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color w:val="auto"/>
                      <w:kern w:val="0"/>
                      <w:szCs w:val="21"/>
                      <w:lang w:bidi="ar"/>
                    </w:rPr>
                    <w:t>2734.68</w:t>
                  </w: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color w:val="auto"/>
                      <w:kern w:val="0"/>
                      <w:szCs w:val="21"/>
                      <w:lang w:bidi="ar"/>
                    </w:rPr>
                    <w:t>1932.69</w:t>
                  </w: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color w:val="auto"/>
                      <w:kern w:val="0"/>
                      <w:szCs w:val="21"/>
                      <w:lang w:bidi="ar"/>
                    </w:rPr>
                    <w:t>0</w:t>
                  </w: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③</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排洪渠浆砌石扭面连接段</w:t>
                  </w: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color w:val="auto"/>
                      <w:kern w:val="0"/>
                      <w:szCs w:val="21"/>
                      <w:lang w:bidi="ar"/>
                    </w:rPr>
                    <w:t>2860.15</w:t>
                  </w: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color w:val="auto"/>
                      <w:kern w:val="0"/>
                      <w:szCs w:val="21"/>
                      <w:lang w:bidi="ar"/>
                    </w:rPr>
                    <w:t>774.92</w:t>
                  </w: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color w:val="auto"/>
                      <w:kern w:val="0"/>
                      <w:szCs w:val="21"/>
                      <w:lang w:bidi="ar"/>
                    </w:rPr>
                    <w:t>0</w:t>
                  </w: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④</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排洪渠格宾砌护段</w:t>
                  </w: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color w:val="auto"/>
                      <w:kern w:val="0"/>
                      <w:szCs w:val="21"/>
                      <w:lang w:bidi="ar"/>
                    </w:rPr>
                    <w:t>93375.76</w:t>
                  </w: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color w:val="auto"/>
                      <w:kern w:val="0"/>
                      <w:szCs w:val="21"/>
                      <w:lang w:bidi="ar"/>
                    </w:rPr>
                    <w:t>286.62</w:t>
                  </w: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⑤</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排洪渠陡坡段</w:t>
                  </w: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3026.70</w:t>
                  </w: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819.07</w:t>
                  </w: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⑥</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排洪渠消力池段</w:t>
                  </w: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2599.83</w:t>
                  </w: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rFonts w:hint="eastAsia"/>
                      <w:color w:val="auto"/>
                      <w:kern w:val="0"/>
                      <w:szCs w:val="21"/>
                      <w:lang w:bidi="ar"/>
                    </w:rPr>
                    <w:t>734.10</w:t>
                  </w: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⑦</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⑧</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⑨</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r>
                    <w:rPr>
                      <w:rFonts w:hint="eastAsia" w:ascii="宋体" w:hAnsi="宋体" w:cs="宋体"/>
                      <w:color w:val="auto"/>
                      <w:kern w:val="0"/>
                      <w:szCs w:val="21"/>
                      <w:lang w:bidi="ar"/>
                    </w:rPr>
                    <w:t>⑩</w:t>
                  </w:r>
                </w:p>
              </w:tc>
              <w:tc>
                <w:tcPr>
                  <w:tcW w:w="2086"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848"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709" w:type="dxa"/>
                  <w:shd w:val="clear" w:color="auto" w:fill="auto"/>
                  <w:noWrap/>
                  <w:tcMar>
                    <w:top w:w="15" w:type="dxa"/>
                    <w:left w:w="15" w:type="dxa"/>
                    <w:right w:w="15" w:type="dxa"/>
                  </w:tcMar>
                  <w:vAlign w:val="center"/>
                </w:tcPr>
                <w:p>
                  <w:pPr>
                    <w:widowControl/>
                    <w:adjustRightInd w:val="0"/>
                    <w:snapToGrid w:val="0"/>
                    <w:jc w:val="center"/>
                    <w:textAlignment w:val="center"/>
                    <w:rPr>
                      <w:color w:val="auto"/>
                      <w:kern w:val="0"/>
                      <w:szCs w:val="21"/>
                      <w:lang w:bidi="ar"/>
                    </w:rPr>
                  </w:pPr>
                  <w:r>
                    <w:rPr>
                      <w:color w:val="auto"/>
                      <w:kern w:val="0"/>
                      <w:szCs w:val="21"/>
                      <w:lang w:bidi="ar"/>
                    </w:rPr>
                    <w:t>合计</w:t>
                  </w:r>
                </w:p>
              </w:tc>
              <w:tc>
                <w:tcPr>
                  <w:tcW w:w="2086" w:type="dxa"/>
                  <w:shd w:val="clear" w:color="auto" w:fill="auto"/>
                  <w:noWrap/>
                  <w:tcMar>
                    <w:top w:w="15" w:type="dxa"/>
                    <w:left w:w="15" w:type="dxa"/>
                    <w:right w:w="15" w:type="dxa"/>
                  </w:tcMar>
                  <w:vAlign w:val="center"/>
                </w:tcPr>
                <w:p>
                  <w:pPr>
                    <w:widowControl/>
                    <w:adjustRightInd w:val="0"/>
                    <w:snapToGrid w:val="0"/>
                    <w:jc w:val="center"/>
                    <w:rPr>
                      <w:rFonts w:cs="Arial"/>
                      <w:color w:val="auto"/>
                      <w:sz w:val="16"/>
                      <w:szCs w:val="16"/>
                    </w:rPr>
                  </w:pPr>
                </w:p>
              </w:tc>
              <w:tc>
                <w:tcPr>
                  <w:tcW w:w="813" w:type="dxa"/>
                  <w:shd w:val="clear" w:color="auto" w:fill="auto"/>
                  <w:noWrap/>
                  <w:tcMar>
                    <w:top w:w="15" w:type="dxa"/>
                    <w:left w:w="15" w:type="dxa"/>
                    <w:right w:w="15" w:type="dxa"/>
                  </w:tcMar>
                  <w:vAlign w:val="center"/>
                </w:tcPr>
                <w:p>
                  <w:pPr>
                    <w:widowControl/>
                    <w:adjustRightInd w:val="0"/>
                    <w:snapToGrid w:val="0"/>
                    <w:jc w:val="center"/>
                    <w:textAlignment w:val="center"/>
                    <w:rPr>
                      <w:rFonts w:cs="Arial"/>
                      <w:color w:val="auto"/>
                      <w:sz w:val="16"/>
                      <w:szCs w:val="16"/>
                    </w:rPr>
                  </w:pPr>
                  <w:r>
                    <w:rPr>
                      <w:rFonts w:cs="Arial"/>
                      <w:color w:val="auto"/>
                      <w:sz w:val="16"/>
                      <w:szCs w:val="16"/>
                    </w:rPr>
                    <w:t>105118.36</w:t>
                  </w:r>
                </w:p>
              </w:tc>
              <w:tc>
                <w:tcPr>
                  <w:tcW w:w="865" w:type="dxa"/>
                  <w:shd w:val="clear" w:color="auto" w:fill="auto"/>
                  <w:noWrap/>
                  <w:tcMar>
                    <w:top w:w="15" w:type="dxa"/>
                    <w:left w:w="15" w:type="dxa"/>
                    <w:right w:w="15" w:type="dxa"/>
                  </w:tcMar>
                  <w:vAlign w:val="center"/>
                </w:tcPr>
                <w:p>
                  <w:pPr>
                    <w:widowControl/>
                    <w:adjustRightInd w:val="0"/>
                    <w:snapToGrid w:val="0"/>
                    <w:jc w:val="center"/>
                    <w:textAlignment w:val="center"/>
                    <w:rPr>
                      <w:rFonts w:cs="Arial"/>
                      <w:color w:val="auto"/>
                      <w:sz w:val="16"/>
                      <w:szCs w:val="16"/>
                    </w:rPr>
                  </w:pPr>
                  <w:r>
                    <w:rPr>
                      <w:rFonts w:cs="Arial"/>
                      <w:color w:val="auto"/>
                      <w:sz w:val="16"/>
                      <w:szCs w:val="16"/>
                    </w:rPr>
                    <w:t>4754.48</w:t>
                  </w:r>
                </w:p>
              </w:tc>
              <w:tc>
                <w:tcPr>
                  <w:tcW w:w="848" w:type="dxa"/>
                  <w:shd w:val="clear" w:color="auto" w:fill="auto"/>
                  <w:noWrap/>
                  <w:tcMar>
                    <w:top w:w="15" w:type="dxa"/>
                    <w:left w:w="15" w:type="dxa"/>
                    <w:right w:w="15" w:type="dxa"/>
                  </w:tcMar>
                  <w:vAlign w:val="center"/>
                </w:tcPr>
                <w:p>
                  <w:pPr>
                    <w:widowControl/>
                    <w:adjustRightInd w:val="0"/>
                    <w:snapToGrid w:val="0"/>
                    <w:jc w:val="center"/>
                    <w:rPr>
                      <w:color w:val="auto"/>
                      <w:kern w:val="0"/>
                      <w:szCs w:val="21"/>
                      <w:lang w:bidi="ar"/>
                    </w:rPr>
                  </w:pPr>
                </w:p>
              </w:tc>
              <w:tc>
                <w:tcPr>
                  <w:tcW w:w="917" w:type="dxa"/>
                  <w:shd w:val="clear" w:color="auto" w:fill="auto"/>
                  <w:noWrap/>
                  <w:tcMar>
                    <w:top w:w="15" w:type="dxa"/>
                    <w:left w:w="15" w:type="dxa"/>
                    <w:right w:w="15" w:type="dxa"/>
                  </w:tcMar>
                  <w:vAlign w:val="center"/>
                </w:tcPr>
                <w:p>
                  <w:pPr>
                    <w:widowControl/>
                    <w:adjustRightInd w:val="0"/>
                    <w:snapToGrid w:val="0"/>
                    <w:jc w:val="center"/>
                    <w:textAlignment w:val="center"/>
                    <w:rPr>
                      <w:color w:val="auto"/>
                      <w:szCs w:val="21"/>
                    </w:rPr>
                  </w:pPr>
                </w:p>
              </w:tc>
              <w:tc>
                <w:tcPr>
                  <w:tcW w:w="2058" w:type="dxa"/>
                  <w:shd w:val="clear" w:color="auto" w:fill="auto"/>
                  <w:noWrap/>
                  <w:tcMar>
                    <w:top w:w="15" w:type="dxa"/>
                    <w:left w:w="15" w:type="dxa"/>
                    <w:right w:w="15" w:type="dxa"/>
                  </w:tcMar>
                  <w:vAlign w:val="center"/>
                </w:tcPr>
                <w:p>
                  <w:pPr>
                    <w:widowControl/>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8296" w:type="dxa"/>
                  <w:gridSpan w:val="7"/>
                  <w:shd w:val="clear" w:color="auto" w:fill="auto"/>
                  <w:noWrap/>
                  <w:tcMar>
                    <w:top w:w="15" w:type="dxa"/>
                    <w:left w:w="15" w:type="dxa"/>
                    <w:right w:w="15" w:type="dxa"/>
                  </w:tcMar>
                  <w:vAlign w:val="center"/>
                </w:tcPr>
                <w:p>
                  <w:pPr>
                    <w:widowControl/>
                    <w:adjustRightInd w:val="0"/>
                    <w:snapToGrid w:val="0"/>
                    <w:rPr>
                      <w:color w:val="auto"/>
                      <w:szCs w:val="21"/>
                    </w:rPr>
                  </w:pPr>
                  <w:r>
                    <w:rPr>
                      <w:color w:val="auto"/>
                      <w:kern w:val="0"/>
                      <w:szCs w:val="21"/>
                      <w:lang w:bidi="ar"/>
                    </w:rPr>
                    <w:t>注：挖方+</w:t>
                  </w:r>
                  <w:r>
                    <w:rPr>
                      <w:rStyle w:val="51"/>
                      <w:rFonts w:hint="default"/>
                      <w:color w:val="auto"/>
                      <w:szCs w:val="21"/>
                      <w:lang w:bidi="ar"/>
                    </w:rPr>
                    <w:t>借方</w:t>
                  </w:r>
                  <w:r>
                    <w:rPr>
                      <w:color w:val="auto"/>
                      <w:kern w:val="0"/>
                      <w:szCs w:val="21"/>
                      <w:lang w:bidi="ar"/>
                    </w:rPr>
                    <w:t>=4703214m</w:t>
                  </w:r>
                  <w:r>
                    <w:rPr>
                      <w:color w:val="auto"/>
                      <w:kern w:val="0"/>
                      <w:szCs w:val="21"/>
                      <w:vertAlign w:val="superscript"/>
                      <w:lang w:bidi="ar"/>
                    </w:rPr>
                    <w:t>3</w:t>
                  </w:r>
                  <w:r>
                    <w:rPr>
                      <w:rStyle w:val="51"/>
                      <w:rFonts w:hint="default"/>
                      <w:color w:val="auto"/>
                      <w:szCs w:val="21"/>
                      <w:lang w:bidi="ar"/>
                    </w:rPr>
                    <w:t>，填方</w:t>
                  </w:r>
                  <w:r>
                    <w:rPr>
                      <w:color w:val="auto"/>
                      <w:kern w:val="0"/>
                      <w:szCs w:val="21"/>
                      <w:lang w:bidi="ar"/>
                    </w:rPr>
                    <w:t>+</w:t>
                  </w:r>
                  <w:r>
                    <w:rPr>
                      <w:rStyle w:val="51"/>
                      <w:rFonts w:hint="default"/>
                      <w:color w:val="auto"/>
                      <w:szCs w:val="21"/>
                      <w:lang w:bidi="ar"/>
                    </w:rPr>
                    <w:t>弃方</w:t>
                  </w:r>
                  <w:r>
                    <w:rPr>
                      <w:color w:val="auto"/>
                      <w:kern w:val="0"/>
                      <w:szCs w:val="21"/>
                      <w:lang w:bidi="ar"/>
                    </w:rPr>
                    <w:t>=4703214m</w:t>
                  </w:r>
                  <w:r>
                    <w:rPr>
                      <w:color w:val="auto"/>
                      <w:kern w:val="0"/>
                      <w:szCs w:val="21"/>
                      <w:vertAlign w:val="superscript"/>
                      <w:lang w:bidi="ar"/>
                    </w:rPr>
                    <w:t>3</w:t>
                  </w:r>
                  <w:r>
                    <w:rPr>
                      <w:rStyle w:val="51"/>
                      <w:rFonts w:hint="default"/>
                      <w:color w:val="auto"/>
                      <w:szCs w:val="21"/>
                      <w:lang w:bidi="ar"/>
                    </w:rPr>
                    <w:t>，挖填方平衡，不产生弃土。</w:t>
                  </w:r>
                </w:p>
              </w:tc>
            </w:tr>
          </w:tbl>
          <w:p>
            <w:pPr>
              <w:adjustRightInd w:val="0"/>
              <w:snapToGrid w:val="0"/>
              <w:spacing w:line="360" w:lineRule="auto"/>
              <w:jc w:val="center"/>
              <w:rPr>
                <w:color w:val="auto"/>
                <w:sz w:val="24"/>
              </w:rPr>
            </w:pPr>
          </w:p>
          <w:p>
            <w:pPr>
              <w:pStyle w:val="2"/>
              <w:ind w:firstLine="0" w:firstLineChars="0"/>
              <w:jc w:val="center"/>
              <w:rPr>
                <w:color w:val="auto"/>
              </w:rPr>
            </w:pPr>
            <w:r>
              <w:rPr>
                <w:color w:val="auto"/>
              </w:rPr>
              <w:object>
                <v:shape id="_x0000_i1045" o:spt="75" type="#_x0000_t75" style="height:238.3pt;width:413.8pt;" o:ole="t" filled="f" o:preferrelative="t" stroked="f" coordsize="21600,21600">
                  <v:path/>
                  <v:fill on="f" focussize="0,0"/>
                  <v:stroke on="f" joinstyle="miter"/>
                  <v:imagedata r:id="rId67" o:title=""/>
                  <o:lock v:ext="edit" aspectratio="t"/>
                  <w10:wrap type="none"/>
                  <w10:anchorlock/>
                </v:shape>
                <o:OLEObject Type="Embed" ProgID="Visio.Drawing.11" ShapeID="_x0000_i1045" DrawAspect="Content" ObjectID="_1468075745" r:id="rId66">
                  <o:LockedField>false</o:LockedField>
                </o:OLEObject>
              </w:object>
            </w:r>
          </w:p>
          <w:p>
            <w:pPr>
              <w:adjustRightInd w:val="0"/>
              <w:snapToGrid w:val="0"/>
              <w:spacing w:line="360" w:lineRule="auto"/>
              <w:jc w:val="center"/>
              <w:rPr>
                <w:color w:val="auto"/>
                <w:sz w:val="24"/>
              </w:rPr>
            </w:pPr>
            <w:r>
              <w:rPr>
                <w:b/>
                <w:bCs/>
                <w:color w:val="auto"/>
                <w:sz w:val="24"/>
              </w:rPr>
              <w:t>图2-12            土石方平衡图     单位：万m</w:t>
            </w:r>
            <w:r>
              <w:rPr>
                <w:b/>
                <w:bCs/>
                <w:color w:val="auto"/>
                <w:sz w:val="24"/>
                <w:vertAlign w:val="superscript"/>
              </w:rPr>
              <w:t>3</w:t>
            </w:r>
          </w:p>
          <w:p>
            <w:pPr>
              <w:autoSpaceDE w:val="0"/>
              <w:autoSpaceDN w:val="0"/>
              <w:adjustRightInd w:val="0"/>
              <w:snapToGrid w:val="0"/>
              <w:spacing w:line="360" w:lineRule="auto"/>
              <w:outlineLvl w:val="1"/>
              <w:rPr>
                <w:b/>
                <w:bCs/>
                <w:color w:val="auto"/>
                <w:kern w:val="0"/>
                <w:sz w:val="24"/>
              </w:rPr>
            </w:pPr>
            <w:r>
              <w:rPr>
                <w:rFonts w:hint="eastAsia"/>
                <w:b/>
                <w:bCs/>
                <w:color w:val="auto"/>
                <w:kern w:val="0"/>
                <w:sz w:val="24"/>
              </w:rPr>
              <w:t>2.</w:t>
            </w:r>
            <w:r>
              <w:rPr>
                <w:b/>
                <w:bCs/>
                <w:color w:val="auto"/>
                <w:kern w:val="0"/>
                <w:sz w:val="24"/>
              </w:rPr>
              <w:t>2.</w:t>
            </w:r>
            <w:r>
              <w:rPr>
                <w:b/>
                <w:bCs/>
                <w:color w:val="auto"/>
                <w:sz w:val="24"/>
              </w:rPr>
              <w:t>9</w:t>
            </w:r>
            <w:r>
              <w:rPr>
                <w:b/>
                <w:bCs/>
                <w:color w:val="auto"/>
                <w:kern w:val="0"/>
                <w:sz w:val="24"/>
              </w:rPr>
              <w:t>工程总投资</w:t>
            </w:r>
          </w:p>
          <w:p>
            <w:pPr>
              <w:adjustRightInd w:val="0"/>
              <w:snapToGrid w:val="0"/>
              <w:spacing w:line="360" w:lineRule="auto"/>
              <w:ind w:firstLine="480" w:firstLineChars="200"/>
              <w:jc w:val="left"/>
              <w:rPr>
                <w:color w:val="auto"/>
                <w:kern w:val="0"/>
                <w:sz w:val="24"/>
              </w:rPr>
            </w:pPr>
            <w:r>
              <w:rPr>
                <w:rFonts w:hint="eastAsia"/>
                <w:color w:val="auto"/>
                <w:sz w:val="24"/>
              </w:rPr>
              <w:t>项目估算总投资为</w:t>
            </w:r>
            <w:r>
              <w:rPr>
                <w:color w:val="auto"/>
                <w:sz w:val="24"/>
              </w:rPr>
              <w:t>1259.52</w:t>
            </w:r>
            <w:r>
              <w:rPr>
                <w:rFonts w:hint="eastAsia"/>
                <w:color w:val="auto"/>
                <w:sz w:val="24"/>
              </w:rPr>
              <w:t>万元，其中：工程费用</w:t>
            </w:r>
            <w:r>
              <w:rPr>
                <w:color w:val="auto"/>
                <w:sz w:val="24"/>
              </w:rPr>
              <w:t>1199.67</w:t>
            </w:r>
            <w:r>
              <w:rPr>
                <w:rFonts w:hint="eastAsia"/>
                <w:color w:val="auto"/>
                <w:sz w:val="24"/>
              </w:rPr>
              <w:t>万元</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Align w:val="center"/>
          </w:tcPr>
          <w:p>
            <w:pPr>
              <w:adjustRightInd w:val="0"/>
              <w:snapToGrid w:val="0"/>
              <w:jc w:val="center"/>
              <w:rPr>
                <w:b/>
                <w:bCs/>
                <w:color w:val="auto"/>
                <w:kern w:val="0"/>
                <w:sz w:val="24"/>
              </w:rPr>
            </w:pPr>
            <w:r>
              <w:rPr>
                <w:rFonts w:hint="eastAsia"/>
                <w:b/>
                <w:bCs/>
                <w:color w:val="auto"/>
                <w:kern w:val="0"/>
                <w:sz w:val="24"/>
              </w:rPr>
              <w:t>2</w:t>
            </w:r>
            <w:r>
              <w:rPr>
                <w:b/>
                <w:bCs/>
                <w:color w:val="auto"/>
                <w:kern w:val="0"/>
                <w:sz w:val="24"/>
              </w:rPr>
              <w:t>.3总平面及现场布置</w:t>
            </w:r>
          </w:p>
        </w:tc>
        <w:tc>
          <w:tcPr>
            <w:tcW w:w="8568" w:type="dxa"/>
          </w:tcPr>
          <w:p>
            <w:pPr>
              <w:adjustRightInd w:val="0"/>
              <w:snapToGrid w:val="0"/>
              <w:spacing w:line="360" w:lineRule="auto"/>
              <w:ind w:firstLine="480" w:firstLineChars="200"/>
              <w:jc w:val="left"/>
              <w:rPr>
                <w:color w:val="auto"/>
                <w:sz w:val="24"/>
              </w:rPr>
            </w:pPr>
            <w:r>
              <w:rPr>
                <w:rFonts w:hint="eastAsia"/>
                <w:color w:val="auto"/>
                <w:sz w:val="24"/>
              </w:rPr>
              <w:t>由于已建矸石场底部涵管泄洪能力不足，考虑矸石场及上游范新庄水库防洪安全，本次设计新建排洪渠兼顾水库泄洪，同时考虑坝后右岸侧属耕地红线无布渠条件，以及矸石场底部涵管变形不能通过大流量洪水，因此本次设计封堵范新庄水库右坝肩泄洪洞，在水库左坝肩新建泄洪洞</w:t>
            </w:r>
            <w:r>
              <w:rPr>
                <w:color w:val="auto"/>
                <w:sz w:val="24"/>
              </w:rPr>
              <w:t>1</w:t>
            </w:r>
            <w:r>
              <w:rPr>
                <w:rFonts w:hint="eastAsia"/>
                <w:color w:val="auto"/>
                <w:sz w:val="24"/>
              </w:rPr>
              <w:t>座，后接项目区排洪渠，排洪渠水平长</w:t>
            </w:r>
            <w:r>
              <w:rPr>
                <w:color w:val="auto"/>
                <w:sz w:val="24"/>
              </w:rPr>
              <w:t>1690.5m</w:t>
            </w:r>
            <w:r>
              <w:rPr>
                <w:rFonts w:hint="eastAsia"/>
                <w:color w:val="auto"/>
                <w:sz w:val="24"/>
              </w:rPr>
              <w:t>，由一级明渠、过路涵洞、二级明渠、陡坡、消力池及海漫组成，同时保留矸石场底部涵管，用于排泄范新庄水库至二矿路区间沟道及沟道右岸共</w:t>
            </w:r>
            <w:r>
              <w:rPr>
                <w:color w:val="auto"/>
                <w:sz w:val="24"/>
              </w:rPr>
              <w:t>4.97m3/s</w:t>
            </w:r>
            <w:r>
              <w:rPr>
                <w:rFonts w:hint="eastAsia"/>
                <w:color w:val="auto"/>
                <w:sz w:val="24"/>
              </w:rPr>
              <w:t>小流量洪水；对矸石场上</w:t>
            </w:r>
            <w:r>
              <w:rPr>
                <w:color w:val="auto"/>
                <w:sz w:val="24"/>
              </w:rPr>
              <w:t>0.5</w:t>
            </w:r>
            <w:r>
              <w:rPr>
                <w:rFonts w:hint="eastAsia"/>
                <w:color w:val="auto"/>
                <w:sz w:val="24"/>
              </w:rPr>
              <w:t>万</w:t>
            </w:r>
            <w:r>
              <w:rPr>
                <w:color w:val="auto"/>
                <w:sz w:val="24"/>
              </w:rPr>
              <w:t>m3II</w:t>
            </w:r>
            <w:r>
              <w:rPr>
                <w:rFonts w:hint="eastAsia"/>
                <w:color w:val="auto"/>
                <w:sz w:val="24"/>
              </w:rPr>
              <w:t>类一般工业固体废物处置场四周设置截洪渠，将水截留进入拟建主排洪渠排至下游沟道</w:t>
            </w:r>
            <w:r>
              <w:rPr>
                <w:rFonts w:hint="eastAsia"/>
                <w:bCs/>
                <w:color w:val="auto"/>
                <w:sz w:val="24"/>
              </w:rPr>
              <w:t>；</w:t>
            </w:r>
            <w:r>
              <w:rPr>
                <w:rFonts w:hint="eastAsia"/>
                <w:color w:val="auto"/>
                <w:sz w:val="24"/>
              </w:rPr>
              <w:t>在矸石场上游及拦渣坝下游沟道各设</w:t>
            </w:r>
            <w:r>
              <w:rPr>
                <w:color w:val="auto"/>
                <w:sz w:val="24"/>
              </w:rPr>
              <w:t>1</w:t>
            </w:r>
            <w:r>
              <w:rPr>
                <w:rFonts w:hint="eastAsia"/>
                <w:color w:val="auto"/>
                <w:sz w:val="24"/>
              </w:rPr>
              <w:t>处监测井，对矸石场附近地下水水质进行跟踪监测；对矸石场表层沿截洪渠方向进行带坡平整，以增强矸石场坡面汇流条件，并种植苜蓿。</w:t>
            </w:r>
          </w:p>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788" w:type="dxa"/>
            <w:vAlign w:val="center"/>
          </w:tcPr>
          <w:p>
            <w:pPr>
              <w:adjustRightInd w:val="0"/>
              <w:snapToGrid w:val="0"/>
              <w:jc w:val="center"/>
              <w:rPr>
                <w:color w:val="auto"/>
                <w:kern w:val="0"/>
                <w:sz w:val="24"/>
              </w:rPr>
            </w:pPr>
            <w:r>
              <w:rPr>
                <w:rFonts w:hint="eastAsia"/>
                <w:b/>
                <w:bCs/>
                <w:color w:val="auto"/>
                <w:kern w:val="0"/>
                <w:sz w:val="24"/>
              </w:rPr>
              <w:t>2</w:t>
            </w:r>
            <w:r>
              <w:rPr>
                <w:b/>
                <w:bCs/>
                <w:color w:val="auto"/>
                <w:kern w:val="0"/>
                <w:sz w:val="24"/>
              </w:rPr>
              <w:t>.4施工方案</w:t>
            </w:r>
          </w:p>
        </w:tc>
        <w:tc>
          <w:tcPr>
            <w:tcW w:w="8568" w:type="dxa"/>
            <w:vAlign w:val="center"/>
          </w:tcPr>
          <w:p>
            <w:pPr>
              <w:adjustRightInd w:val="0"/>
              <w:snapToGrid w:val="0"/>
              <w:spacing w:line="360" w:lineRule="auto"/>
              <w:ind w:firstLine="482" w:firstLineChars="200"/>
              <w:rPr>
                <w:b/>
                <w:bCs/>
                <w:color w:val="auto"/>
                <w:sz w:val="24"/>
              </w:rPr>
            </w:pPr>
            <w:bookmarkStart w:id="93" w:name="_Toc4297"/>
            <w:r>
              <w:rPr>
                <w:b/>
                <w:bCs/>
                <w:color w:val="auto"/>
                <w:sz w:val="24"/>
              </w:rPr>
              <w:t>1、施工机械设施</w:t>
            </w:r>
            <w:bookmarkEnd w:id="93"/>
          </w:p>
          <w:p>
            <w:pPr>
              <w:adjustRightInd w:val="0"/>
              <w:snapToGrid w:val="0"/>
              <w:spacing w:line="360" w:lineRule="auto"/>
              <w:ind w:firstLine="480" w:firstLineChars="200"/>
              <w:rPr>
                <w:bCs/>
                <w:color w:val="auto"/>
                <w:sz w:val="24"/>
              </w:rPr>
            </w:pPr>
            <w:r>
              <w:rPr>
                <w:bCs/>
                <w:color w:val="auto"/>
                <w:sz w:val="24"/>
              </w:rPr>
              <w:t>施工时，使用挖掘配合机推土机对平台区和坡面区进行平整和覆土碾压，碾压机械可以选择59kW推土机（铺土及碾压）。在治理区周边空地设立临时使用场地，用于施工人员休息及设备停放等。本次治理工程拟投入的机械设备情况见2-</w:t>
            </w:r>
            <w:r>
              <w:rPr>
                <w:rFonts w:hint="eastAsia"/>
                <w:bCs/>
                <w:color w:val="auto"/>
                <w:sz w:val="24"/>
              </w:rPr>
              <w:t>17</w:t>
            </w:r>
            <w:r>
              <w:rPr>
                <w:bCs/>
                <w:color w:val="auto"/>
                <w:sz w:val="24"/>
              </w:rPr>
              <w:t>。</w:t>
            </w:r>
          </w:p>
          <w:p>
            <w:pPr>
              <w:ind w:firstLine="1205" w:firstLineChars="500"/>
              <w:rPr>
                <w:b/>
                <w:bCs/>
                <w:color w:val="auto"/>
                <w:sz w:val="24"/>
              </w:rPr>
            </w:pPr>
            <w:r>
              <w:rPr>
                <w:b/>
                <w:bCs/>
                <w:color w:val="auto"/>
                <w:sz w:val="24"/>
              </w:rPr>
              <w:t>表2-</w:t>
            </w:r>
            <w:r>
              <w:rPr>
                <w:rFonts w:hint="eastAsia"/>
                <w:b/>
                <w:bCs/>
                <w:color w:val="auto"/>
                <w:sz w:val="24"/>
              </w:rPr>
              <w:t>17</w:t>
            </w:r>
            <w:r>
              <w:rPr>
                <w:b/>
                <w:bCs/>
                <w:color w:val="auto"/>
                <w:sz w:val="24"/>
              </w:rPr>
              <w:t xml:space="preserve">         </w:t>
            </w:r>
            <w:r>
              <w:rPr>
                <w:rFonts w:hint="eastAsia"/>
                <w:b/>
                <w:bCs/>
                <w:color w:val="auto"/>
                <w:sz w:val="24"/>
              </w:rPr>
              <w:t xml:space="preserve">          </w:t>
            </w:r>
            <w:r>
              <w:rPr>
                <w:b/>
                <w:bCs/>
                <w:color w:val="auto"/>
                <w:sz w:val="24"/>
              </w:rPr>
              <w:t xml:space="preserve">  机械设备一览表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0"/>
              <w:gridCol w:w="1629"/>
              <w:gridCol w:w="892"/>
              <w:gridCol w:w="905"/>
              <w:gridCol w:w="1751"/>
              <w:gridCol w:w="23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pPr>
                    <w:adjustRightInd w:val="0"/>
                    <w:snapToGrid w:val="0"/>
                    <w:jc w:val="center"/>
                    <w:rPr>
                      <w:b/>
                      <w:color w:val="auto"/>
                      <w:szCs w:val="21"/>
                    </w:rPr>
                  </w:pPr>
                  <w:r>
                    <w:rPr>
                      <w:b/>
                      <w:color w:val="auto"/>
                      <w:szCs w:val="21"/>
                    </w:rPr>
                    <w:t>序号</w:t>
                  </w:r>
                </w:p>
              </w:tc>
              <w:tc>
                <w:tcPr>
                  <w:tcW w:w="975" w:type="pct"/>
                  <w:tcBorders>
                    <w:tl2br w:val="nil"/>
                    <w:tr2bl w:val="nil"/>
                  </w:tcBorders>
                  <w:vAlign w:val="center"/>
                </w:tcPr>
                <w:p>
                  <w:pPr>
                    <w:adjustRightInd w:val="0"/>
                    <w:snapToGrid w:val="0"/>
                    <w:jc w:val="center"/>
                    <w:rPr>
                      <w:b/>
                      <w:color w:val="auto"/>
                      <w:szCs w:val="21"/>
                    </w:rPr>
                  </w:pPr>
                  <w:r>
                    <w:rPr>
                      <w:b/>
                      <w:color w:val="auto"/>
                      <w:szCs w:val="21"/>
                    </w:rPr>
                    <w:t>机械名称</w:t>
                  </w:r>
                </w:p>
              </w:tc>
              <w:tc>
                <w:tcPr>
                  <w:tcW w:w="534" w:type="pct"/>
                  <w:tcBorders>
                    <w:tl2br w:val="nil"/>
                    <w:tr2bl w:val="nil"/>
                  </w:tcBorders>
                  <w:vAlign w:val="center"/>
                </w:tcPr>
                <w:p>
                  <w:pPr>
                    <w:adjustRightInd w:val="0"/>
                    <w:snapToGrid w:val="0"/>
                    <w:jc w:val="center"/>
                    <w:rPr>
                      <w:b/>
                      <w:color w:val="auto"/>
                      <w:szCs w:val="21"/>
                    </w:rPr>
                  </w:pPr>
                  <w:r>
                    <w:rPr>
                      <w:b/>
                      <w:color w:val="auto"/>
                      <w:szCs w:val="21"/>
                    </w:rPr>
                    <w:t>型号</w:t>
                  </w:r>
                </w:p>
              </w:tc>
              <w:tc>
                <w:tcPr>
                  <w:tcW w:w="542" w:type="pct"/>
                  <w:tcBorders>
                    <w:tl2br w:val="nil"/>
                    <w:tr2bl w:val="nil"/>
                  </w:tcBorders>
                  <w:vAlign w:val="center"/>
                </w:tcPr>
                <w:p>
                  <w:pPr>
                    <w:adjustRightInd w:val="0"/>
                    <w:snapToGrid w:val="0"/>
                    <w:jc w:val="center"/>
                    <w:rPr>
                      <w:b/>
                      <w:color w:val="auto"/>
                      <w:szCs w:val="21"/>
                    </w:rPr>
                  </w:pPr>
                  <w:r>
                    <w:rPr>
                      <w:b/>
                      <w:color w:val="auto"/>
                      <w:szCs w:val="21"/>
                    </w:rPr>
                    <w:t>数量</w:t>
                  </w:r>
                </w:p>
              </w:tc>
              <w:tc>
                <w:tcPr>
                  <w:tcW w:w="1048" w:type="pct"/>
                  <w:tcBorders>
                    <w:tl2br w:val="nil"/>
                    <w:tr2bl w:val="nil"/>
                  </w:tcBorders>
                  <w:vAlign w:val="center"/>
                </w:tcPr>
                <w:p>
                  <w:pPr>
                    <w:adjustRightInd w:val="0"/>
                    <w:snapToGrid w:val="0"/>
                    <w:jc w:val="center"/>
                    <w:rPr>
                      <w:b/>
                      <w:color w:val="auto"/>
                      <w:szCs w:val="21"/>
                    </w:rPr>
                  </w:pPr>
                  <w:r>
                    <w:rPr>
                      <w:b/>
                      <w:color w:val="auto"/>
                      <w:szCs w:val="21"/>
                    </w:rPr>
                    <w:t>主要性能指标</w:t>
                  </w:r>
                </w:p>
              </w:tc>
              <w:tc>
                <w:tcPr>
                  <w:tcW w:w="1420" w:type="pct"/>
                  <w:tcBorders>
                    <w:tl2br w:val="nil"/>
                    <w:tr2bl w:val="nil"/>
                  </w:tcBorders>
                  <w:vAlign w:val="center"/>
                </w:tcPr>
                <w:p>
                  <w:pPr>
                    <w:adjustRightInd w:val="0"/>
                    <w:snapToGrid w:val="0"/>
                    <w:jc w:val="center"/>
                    <w:rPr>
                      <w:b/>
                      <w:color w:val="auto"/>
                      <w:szCs w:val="21"/>
                    </w:rPr>
                  </w:pPr>
                  <w:r>
                    <w:rPr>
                      <w:b/>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pPr>
                    <w:adjustRightInd w:val="0"/>
                    <w:snapToGrid w:val="0"/>
                    <w:jc w:val="center"/>
                    <w:rPr>
                      <w:color w:val="auto"/>
                      <w:kern w:val="0"/>
                      <w:szCs w:val="21"/>
                    </w:rPr>
                  </w:pPr>
                  <w:r>
                    <w:rPr>
                      <w:color w:val="auto"/>
                      <w:kern w:val="0"/>
                      <w:szCs w:val="21"/>
                    </w:rPr>
                    <w:t>1</w:t>
                  </w:r>
                </w:p>
              </w:tc>
              <w:tc>
                <w:tcPr>
                  <w:tcW w:w="975" w:type="pct"/>
                  <w:tcBorders>
                    <w:tl2br w:val="nil"/>
                    <w:tr2bl w:val="nil"/>
                  </w:tcBorders>
                  <w:vAlign w:val="center"/>
                </w:tcPr>
                <w:p>
                  <w:pPr>
                    <w:adjustRightInd w:val="0"/>
                    <w:snapToGrid w:val="0"/>
                    <w:jc w:val="center"/>
                    <w:rPr>
                      <w:color w:val="auto"/>
                      <w:kern w:val="0"/>
                      <w:szCs w:val="21"/>
                    </w:rPr>
                  </w:pPr>
                  <w:r>
                    <w:rPr>
                      <w:color w:val="auto"/>
                      <w:kern w:val="0"/>
                      <w:szCs w:val="21"/>
                    </w:rPr>
                    <w:t>挖掘机</w:t>
                  </w:r>
                </w:p>
              </w:tc>
              <w:tc>
                <w:tcPr>
                  <w:tcW w:w="534" w:type="pct"/>
                  <w:tcBorders>
                    <w:tl2br w:val="nil"/>
                    <w:tr2bl w:val="nil"/>
                  </w:tcBorders>
                  <w:vAlign w:val="center"/>
                </w:tcPr>
                <w:p>
                  <w:pPr>
                    <w:adjustRightInd w:val="0"/>
                    <w:snapToGrid w:val="0"/>
                    <w:jc w:val="center"/>
                    <w:rPr>
                      <w:color w:val="auto"/>
                      <w:kern w:val="0"/>
                      <w:szCs w:val="21"/>
                    </w:rPr>
                  </w:pPr>
                  <w:r>
                    <w:rPr>
                      <w:color w:val="auto"/>
                      <w:kern w:val="0"/>
                      <w:szCs w:val="21"/>
                    </w:rPr>
                    <w:t>单斗</w:t>
                  </w:r>
                </w:p>
              </w:tc>
              <w:tc>
                <w:tcPr>
                  <w:tcW w:w="542" w:type="pct"/>
                  <w:tcBorders>
                    <w:tl2br w:val="nil"/>
                    <w:tr2bl w:val="nil"/>
                  </w:tcBorders>
                  <w:vAlign w:val="center"/>
                </w:tcPr>
                <w:p>
                  <w:pPr>
                    <w:adjustRightInd w:val="0"/>
                    <w:snapToGrid w:val="0"/>
                    <w:jc w:val="center"/>
                    <w:rPr>
                      <w:color w:val="auto"/>
                      <w:kern w:val="0"/>
                      <w:szCs w:val="21"/>
                    </w:rPr>
                  </w:pPr>
                  <w:r>
                    <w:rPr>
                      <w:color w:val="auto"/>
                      <w:kern w:val="0"/>
                      <w:szCs w:val="21"/>
                    </w:rPr>
                    <w:t>1台</w:t>
                  </w:r>
                </w:p>
              </w:tc>
              <w:tc>
                <w:tcPr>
                  <w:tcW w:w="1048" w:type="pct"/>
                  <w:tcBorders>
                    <w:tl2br w:val="nil"/>
                    <w:tr2bl w:val="nil"/>
                  </w:tcBorders>
                  <w:vAlign w:val="center"/>
                </w:tcPr>
                <w:p>
                  <w:pPr>
                    <w:adjustRightInd w:val="0"/>
                    <w:snapToGrid w:val="0"/>
                    <w:jc w:val="center"/>
                    <w:rPr>
                      <w:color w:val="auto"/>
                      <w:kern w:val="0"/>
                      <w:szCs w:val="21"/>
                    </w:rPr>
                  </w:pPr>
                  <w:r>
                    <w:rPr>
                      <w:color w:val="auto"/>
                      <w:kern w:val="0"/>
                      <w:szCs w:val="21"/>
                    </w:rPr>
                    <w:t>油动，斗容1m³</w:t>
                  </w:r>
                </w:p>
              </w:tc>
              <w:tc>
                <w:tcPr>
                  <w:tcW w:w="1420" w:type="pct"/>
                  <w:tcBorders>
                    <w:tl2br w:val="nil"/>
                    <w:tr2bl w:val="nil"/>
                  </w:tcBorders>
                  <w:vAlign w:val="center"/>
                </w:tcPr>
                <w:p>
                  <w:pPr>
                    <w:adjustRightInd w:val="0"/>
                    <w:snapToGrid w:val="0"/>
                    <w:jc w:val="center"/>
                    <w:rPr>
                      <w:color w:val="auto"/>
                      <w:kern w:val="0"/>
                      <w:szCs w:val="21"/>
                    </w:rPr>
                  </w:pPr>
                  <w:r>
                    <w:rPr>
                      <w:color w:val="auto"/>
                      <w:kern w:val="0"/>
                      <w:szCs w:val="21"/>
                    </w:rPr>
                    <w:t>坡面覆土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pPr>
                    <w:adjustRightInd w:val="0"/>
                    <w:snapToGrid w:val="0"/>
                    <w:jc w:val="center"/>
                    <w:rPr>
                      <w:color w:val="auto"/>
                      <w:kern w:val="0"/>
                      <w:szCs w:val="21"/>
                    </w:rPr>
                  </w:pPr>
                  <w:r>
                    <w:rPr>
                      <w:color w:val="auto"/>
                      <w:kern w:val="0"/>
                      <w:szCs w:val="21"/>
                    </w:rPr>
                    <w:t>2</w:t>
                  </w:r>
                </w:p>
              </w:tc>
              <w:tc>
                <w:tcPr>
                  <w:tcW w:w="975" w:type="pct"/>
                  <w:tcBorders>
                    <w:tl2br w:val="nil"/>
                    <w:tr2bl w:val="nil"/>
                  </w:tcBorders>
                  <w:vAlign w:val="center"/>
                </w:tcPr>
                <w:p>
                  <w:pPr>
                    <w:adjustRightInd w:val="0"/>
                    <w:snapToGrid w:val="0"/>
                    <w:jc w:val="center"/>
                    <w:rPr>
                      <w:color w:val="auto"/>
                      <w:kern w:val="0"/>
                      <w:szCs w:val="21"/>
                    </w:rPr>
                  </w:pPr>
                  <w:r>
                    <w:rPr>
                      <w:color w:val="auto"/>
                      <w:kern w:val="0"/>
                      <w:szCs w:val="21"/>
                    </w:rPr>
                    <w:t>推土机</w:t>
                  </w:r>
                </w:p>
              </w:tc>
              <w:tc>
                <w:tcPr>
                  <w:tcW w:w="534" w:type="pct"/>
                  <w:tcBorders>
                    <w:tl2br w:val="nil"/>
                    <w:tr2bl w:val="nil"/>
                  </w:tcBorders>
                  <w:vAlign w:val="center"/>
                </w:tcPr>
                <w:p>
                  <w:pPr>
                    <w:adjustRightInd w:val="0"/>
                    <w:snapToGrid w:val="0"/>
                    <w:jc w:val="center"/>
                    <w:rPr>
                      <w:color w:val="auto"/>
                      <w:kern w:val="0"/>
                      <w:szCs w:val="21"/>
                    </w:rPr>
                  </w:pPr>
                  <w:r>
                    <w:rPr>
                      <w:color w:val="auto"/>
                      <w:kern w:val="0"/>
                      <w:szCs w:val="21"/>
                    </w:rPr>
                    <w:t>59kW</w:t>
                  </w:r>
                </w:p>
              </w:tc>
              <w:tc>
                <w:tcPr>
                  <w:tcW w:w="542" w:type="pct"/>
                  <w:tcBorders>
                    <w:tl2br w:val="nil"/>
                    <w:tr2bl w:val="nil"/>
                  </w:tcBorders>
                  <w:vAlign w:val="center"/>
                </w:tcPr>
                <w:p>
                  <w:pPr>
                    <w:adjustRightInd w:val="0"/>
                    <w:snapToGrid w:val="0"/>
                    <w:jc w:val="center"/>
                    <w:rPr>
                      <w:color w:val="auto"/>
                      <w:kern w:val="0"/>
                      <w:szCs w:val="21"/>
                    </w:rPr>
                  </w:pPr>
                  <w:r>
                    <w:rPr>
                      <w:color w:val="auto"/>
                      <w:kern w:val="0"/>
                      <w:szCs w:val="21"/>
                    </w:rPr>
                    <w:t>1台</w:t>
                  </w:r>
                </w:p>
              </w:tc>
              <w:tc>
                <w:tcPr>
                  <w:tcW w:w="1048"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w:t>
                  </w:r>
                </w:p>
              </w:tc>
              <w:tc>
                <w:tcPr>
                  <w:tcW w:w="1420" w:type="pct"/>
                  <w:tcBorders>
                    <w:tl2br w:val="nil"/>
                    <w:tr2bl w:val="nil"/>
                  </w:tcBorders>
                  <w:vAlign w:val="center"/>
                </w:tcPr>
                <w:p>
                  <w:pPr>
                    <w:adjustRightInd w:val="0"/>
                    <w:snapToGrid w:val="0"/>
                    <w:jc w:val="center"/>
                    <w:rPr>
                      <w:color w:val="auto"/>
                      <w:kern w:val="0"/>
                      <w:szCs w:val="21"/>
                    </w:rPr>
                  </w:pPr>
                  <w:r>
                    <w:rPr>
                      <w:color w:val="auto"/>
                      <w:kern w:val="0"/>
                      <w:szCs w:val="21"/>
                    </w:rPr>
                    <w:t>覆土平整及碾压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pPr>
                    <w:adjustRightInd w:val="0"/>
                    <w:snapToGrid w:val="0"/>
                    <w:jc w:val="center"/>
                    <w:rPr>
                      <w:color w:val="auto"/>
                      <w:kern w:val="0"/>
                      <w:szCs w:val="21"/>
                    </w:rPr>
                  </w:pPr>
                  <w:r>
                    <w:rPr>
                      <w:color w:val="auto"/>
                      <w:kern w:val="0"/>
                      <w:szCs w:val="21"/>
                    </w:rPr>
                    <w:t>3</w:t>
                  </w:r>
                </w:p>
              </w:tc>
              <w:tc>
                <w:tcPr>
                  <w:tcW w:w="975" w:type="pct"/>
                  <w:tcBorders>
                    <w:tl2br w:val="nil"/>
                    <w:tr2bl w:val="nil"/>
                  </w:tcBorders>
                  <w:vAlign w:val="center"/>
                </w:tcPr>
                <w:p>
                  <w:pPr>
                    <w:adjustRightInd w:val="0"/>
                    <w:snapToGrid w:val="0"/>
                    <w:jc w:val="center"/>
                    <w:rPr>
                      <w:color w:val="auto"/>
                      <w:kern w:val="0"/>
                      <w:szCs w:val="21"/>
                    </w:rPr>
                  </w:pPr>
                  <w:r>
                    <w:rPr>
                      <w:color w:val="auto"/>
                      <w:kern w:val="0"/>
                      <w:szCs w:val="21"/>
                    </w:rPr>
                    <w:t>洒水车</w:t>
                  </w:r>
                </w:p>
              </w:tc>
              <w:tc>
                <w:tcPr>
                  <w:tcW w:w="534" w:type="pct"/>
                  <w:tcBorders>
                    <w:tl2br w:val="nil"/>
                    <w:tr2bl w:val="nil"/>
                  </w:tcBorders>
                  <w:vAlign w:val="center"/>
                </w:tcPr>
                <w:p>
                  <w:pPr>
                    <w:adjustRightInd w:val="0"/>
                    <w:snapToGrid w:val="0"/>
                    <w:jc w:val="center"/>
                    <w:rPr>
                      <w:color w:val="auto"/>
                      <w:kern w:val="0"/>
                      <w:szCs w:val="21"/>
                    </w:rPr>
                  </w:pPr>
                  <w:r>
                    <w:rPr>
                      <w:color w:val="auto"/>
                      <w:kern w:val="0"/>
                      <w:szCs w:val="21"/>
                    </w:rPr>
                    <w:t>20t</w:t>
                  </w:r>
                </w:p>
              </w:tc>
              <w:tc>
                <w:tcPr>
                  <w:tcW w:w="542" w:type="pct"/>
                  <w:tcBorders>
                    <w:tl2br w:val="nil"/>
                    <w:tr2bl w:val="nil"/>
                  </w:tcBorders>
                  <w:vAlign w:val="center"/>
                </w:tcPr>
                <w:p>
                  <w:pPr>
                    <w:adjustRightInd w:val="0"/>
                    <w:snapToGrid w:val="0"/>
                    <w:jc w:val="center"/>
                    <w:rPr>
                      <w:color w:val="auto"/>
                      <w:kern w:val="0"/>
                      <w:szCs w:val="21"/>
                    </w:rPr>
                  </w:pPr>
                  <w:r>
                    <w:rPr>
                      <w:color w:val="auto"/>
                      <w:kern w:val="0"/>
                      <w:szCs w:val="21"/>
                    </w:rPr>
                    <w:t>1台</w:t>
                  </w:r>
                </w:p>
              </w:tc>
              <w:tc>
                <w:tcPr>
                  <w:tcW w:w="1048"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w:t>
                  </w:r>
                </w:p>
              </w:tc>
              <w:tc>
                <w:tcPr>
                  <w:tcW w:w="1420" w:type="pct"/>
                  <w:tcBorders>
                    <w:tl2br w:val="nil"/>
                    <w:tr2bl w:val="nil"/>
                  </w:tcBorders>
                  <w:vAlign w:val="center"/>
                </w:tcPr>
                <w:p>
                  <w:pPr>
                    <w:adjustRightInd w:val="0"/>
                    <w:snapToGrid w:val="0"/>
                    <w:jc w:val="center"/>
                    <w:rPr>
                      <w:color w:val="auto"/>
                      <w:kern w:val="0"/>
                      <w:szCs w:val="21"/>
                    </w:rPr>
                  </w:pPr>
                  <w:r>
                    <w:rPr>
                      <w:color w:val="auto"/>
                      <w:kern w:val="0"/>
                      <w:szCs w:val="21"/>
                    </w:rPr>
                    <w:t>洒水降尘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pPr>
                    <w:adjustRightInd w:val="0"/>
                    <w:snapToGrid w:val="0"/>
                    <w:jc w:val="center"/>
                    <w:rPr>
                      <w:color w:val="auto"/>
                      <w:kern w:val="0"/>
                      <w:szCs w:val="21"/>
                    </w:rPr>
                  </w:pPr>
                  <w:r>
                    <w:rPr>
                      <w:color w:val="auto"/>
                      <w:kern w:val="0"/>
                      <w:szCs w:val="21"/>
                    </w:rPr>
                    <w:t>4</w:t>
                  </w:r>
                </w:p>
              </w:tc>
              <w:tc>
                <w:tcPr>
                  <w:tcW w:w="975" w:type="pct"/>
                  <w:tcBorders>
                    <w:tl2br w:val="nil"/>
                    <w:tr2bl w:val="nil"/>
                  </w:tcBorders>
                  <w:vAlign w:val="center"/>
                </w:tcPr>
                <w:p>
                  <w:pPr>
                    <w:adjustRightInd w:val="0"/>
                    <w:snapToGrid w:val="0"/>
                    <w:jc w:val="center"/>
                    <w:rPr>
                      <w:color w:val="auto"/>
                      <w:szCs w:val="21"/>
                    </w:rPr>
                  </w:pPr>
                  <w:r>
                    <w:rPr>
                      <w:color w:val="auto"/>
                      <w:szCs w:val="21"/>
                    </w:rPr>
                    <w:t>压路机</w:t>
                  </w:r>
                </w:p>
              </w:tc>
              <w:tc>
                <w:tcPr>
                  <w:tcW w:w="534" w:type="pct"/>
                  <w:tcBorders>
                    <w:tl2br w:val="nil"/>
                    <w:tr2bl w:val="nil"/>
                  </w:tcBorders>
                  <w:vAlign w:val="center"/>
                </w:tcPr>
                <w:p>
                  <w:pPr>
                    <w:adjustRightInd w:val="0"/>
                    <w:snapToGrid w:val="0"/>
                    <w:jc w:val="center"/>
                    <w:rPr>
                      <w:color w:val="auto"/>
                      <w:kern w:val="0"/>
                      <w:szCs w:val="21"/>
                    </w:rPr>
                  </w:pPr>
                  <w:r>
                    <w:rPr>
                      <w:color w:val="auto"/>
                      <w:kern w:val="0"/>
                      <w:szCs w:val="21"/>
                    </w:rPr>
                    <w:t>26t</w:t>
                  </w:r>
                </w:p>
              </w:tc>
              <w:tc>
                <w:tcPr>
                  <w:tcW w:w="542" w:type="pct"/>
                  <w:tcBorders>
                    <w:tl2br w:val="nil"/>
                    <w:tr2bl w:val="nil"/>
                  </w:tcBorders>
                  <w:vAlign w:val="center"/>
                </w:tcPr>
                <w:p>
                  <w:pPr>
                    <w:adjustRightInd w:val="0"/>
                    <w:snapToGrid w:val="0"/>
                    <w:jc w:val="center"/>
                    <w:rPr>
                      <w:color w:val="auto"/>
                      <w:kern w:val="0"/>
                      <w:szCs w:val="21"/>
                    </w:rPr>
                  </w:pPr>
                  <w:r>
                    <w:rPr>
                      <w:color w:val="auto"/>
                      <w:kern w:val="0"/>
                      <w:szCs w:val="21"/>
                    </w:rPr>
                    <w:t>1台</w:t>
                  </w:r>
                </w:p>
              </w:tc>
              <w:tc>
                <w:tcPr>
                  <w:tcW w:w="1048"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w:t>
                  </w:r>
                </w:p>
              </w:tc>
              <w:tc>
                <w:tcPr>
                  <w:tcW w:w="1420" w:type="pct"/>
                  <w:tcBorders>
                    <w:tl2br w:val="nil"/>
                    <w:tr2bl w:val="nil"/>
                  </w:tcBorders>
                  <w:vAlign w:val="center"/>
                </w:tcPr>
                <w:p>
                  <w:pPr>
                    <w:adjustRightInd w:val="0"/>
                    <w:snapToGrid w:val="0"/>
                    <w:jc w:val="center"/>
                    <w:rPr>
                      <w:color w:val="auto"/>
                      <w:kern w:val="0"/>
                      <w:szCs w:val="21"/>
                    </w:rPr>
                  </w:pPr>
                  <w:r>
                    <w:rPr>
                      <w:color w:val="auto"/>
                      <w:kern w:val="0"/>
                      <w:szCs w:val="21"/>
                    </w:rPr>
                    <w:t>矸石、路面碾压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9" w:type="pct"/>
                  <w:tcBorders>
                    <w:tl2br w:val="nil"/>
                    <w:tr2bl w:val="nil"/>
                  </w:tcBorders>
                  <w:vAlign w:val="center"/>
                </w:tcPr>
                <w:p>
                  <w:pPr>
                    <w:adjustRightInd w:val="0"/>
                    <w:snapToGrid w:val="0"/>
                    <w:jc w:val="center"/>
                    <w:rPr>
                      <w:color w:val="auto"/>
                      <w:kern w:val="0"/>
                      <w:szCs w:val="21"/>
                    </w:rPr>
                  </w:pPr>
                  <w:r>
                    <w:rPr>
                      <w:color w:val="auto"/>
                      <w:kern w:val="0"/>
                      <w:szCs w:val="21"/>
                    </w:rPr>
                    <w:t>5</w:t>
                  </w:r>
                </w:p>
              </w:tc>
              <w:tc>
                <w:tcPr>
                  <w:tcW w:w="975" w:type="pct"/>
                  <w:tcBorders>
                    <w:tl2br w:val="nil"/>
                    <w:tr2bl w:val="nil"/>
                  </w:tcBorders>
                  <w:vAlign w:val="center"/>
                </w:tcPr>
                <w:p>
                  <w:pPr>
                    <w:adjustRightInd w:val="0"/>
                    <w:snapToGrid w:val="0"/>
                    <w:jc w:val="center"/>
                    <w:rPr>
                      <w:color w:val="auto"/>
                      <w:kern w:val="0"/>
                      <w:szCs w:val="21"/>
                    </w:rPr>
                  </w:pPr>
                  <w:r>
                    <w:rPr>
                      <w:color w:val="auto"/>
                      <w:kern w:val="0"/>
                      <w:szCs w:val="21"/>
                      <w:lang w:val="en-GB"/>
                    </w:rPr>
                    <w:t>自动装卸汽车</w:t>
                  </w:r>
                </w:p>
              </w:tc>
              <w:tc>
                <w:tcPr>
                  <w:tcW w:w="534" w:type="pct"/>
                  <w:tcBorders>
                    <w:tl2br w:val="nil"/>
                    <w:tr2bl w:val="nil"/>
                  </w:tcBorders>
                  <w:vAlign w:val="center"/>
                </w:tcPr>
                <w:p>
                  <w:pPr>
                    <w:adjustRightInd w:val="0"/>
                    <w:snapToGrid w:val="0"/>
                    <w:jc w:val="center"/>
                    <w:rPr>
                      <w:color w:val="auto"/>
                      <w:kern w:val="0"/>
                      <w:szCs w:val="21"/>
                    </w:rPr>
                  </w:pPr>
                  <w:r>
                    <w:rPr>
                      <w:color w:val="auto"/>
                      <w:kern w:val="0"/>
                      <w:szCs w:val="21"/>
                    </w:rPr>
                    <w:t>20t</w:t>
                  </w:r>
                </w:p>
              </w:tc>
              <w:tc>
                <w:tcPr>
                  <w:tcW w:w="542" w:type="pct"/>
                  <w:tcBorders>
                    <w:tl2br w:val="nil"/>
                    <w:tr2bl w:val="nil"/>
                  </w:tcBorders>
                  <w:vAlign w:val="center"/>
                </w:tcPr>
                <w:p>
                  <w:pPr>
                    <w:adjustRightInd w:val="0"/>
                    <w:snapToGrid w:val="0"/>
                    <w:jc w:val="center"/>
                    <w:rPr>
                      <w:color w:val="auto"/>
                      <w:kern w:val="0"/>
                      <w:szCs w:val="21"/>
                    </w:rPr>
                  </w:pPr>
                  <w:r>
                    <w:rPr>
                      <w:color w:val="auto"/>
                      <w:kern w:val="0"/>
                      <w:szCs w:val="21"/>
                    </w:rPr>
                    <w:t>4台</w:t>
                  </w:r>
                </w:p>
              </w:tc>
              <w:tc>
                <w:tcPr>
                  <w:tcW w:w="1048"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w:t>
                  </w:r>
                </w:p>
              </w:tc>
              <w:tc>
                <w:tcPr>
                  <w:tcW w:w="1420" w:type="pct"/>
                  <w:tcBorders>
                    <w:tl2br w:val="nil"/>
                    <w:tr2bl w:val="nil"/>
                  </w:tcBorders>
                  <w:vAlign w:val="center"/>
                </w:tcPr>
                <w:p>
                  <w:pPr>
                    <w:adjustRightInd w:val="0"/>
                    <w:snapToGrid w:val="0"/>
                    <w:jc w:val="center"/>
                    <w:rPr>
                      <w:color w:val="auto"/>
                      <w:kern w:val="0"/>
                      <w:szCs w:val="21"/>
                    </w:rPr>
                  </w:pPr>
                  <w:r>
                    <w:rPr>
                      <w:color w:val="auto"/>
                      <w:szCs w:val="21"/>
                    </w:rPr>
                    <w:t>覆土运输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pPr>
                    <w:adjustRightInd w:val="0"/>
                    <w:snapToGrid w:val="0"/>
                    <w:spacing w:line="312" w:lineRule="auto"/>
                    <w:ind w:firstLine="360" w:firstLineChars="200"/>
                    <w:rPr>
                      <w:color w:val="auto"/>
                      <w:szCs w:val="21"/>
                    </w:rPr>
                  </w:pPr>
                  <w:r>
                    <w:rPr>
                      <w:color w:val="auto"/>
                      <w:sz w:val="18"/>
                      <w:szCs w:val="18"/>
                    </w:rPr>
                    <w:t>注：本表设备型号仅供参考，利用矿方已有设备，在治理施工过程中，设备操作人员在使用和操作设备的同时，应做好维护保养工作，禁止“野蛮操作，违规擦作”，做到“正确使用，精心维护”。确保设备始终保持良好状态。</w:t>
                  </w:r>
                </w:p>
              </w:tc>
            </w:tr>
          </w:tbl>
          <w:p>
            <w:pPr>
              <w:snapToGrid w:val="0"/>
              <w:ind w:firstLine="200" w:firstLineChars="200"/>
              <w:rPr>
                <w:color w:val="auto"/>
                <w:sz w:val="10"/>
                <w:szCs w:val="10"/>
              </w:rPr>
            </w:pPr>
          </w:p>
          <w:p>
            <w:pPr>
              <w:adjustRightInd w:val="0"/>
              <w:snapToGrid w:val="0"/>
              <w:spacing w:line="360" w:lineRule="auto"/>
              <w:rPr>
                <w:b/>
                <w:bCs/>
                <w:color w:val="auto"/>
                <w:sz w:val="24"/>
              </w:rPr>
            </w:pPr>
            <w:r>
              <w:rPr>
                <w:b/>
                <w:bCs/>
                <w:color w:val="auto"/>
                <w:sz w:val="24"/>
              </w:rPr>
              <w:t>2、</w:t>
            </w:r>
            <w:bookmarkStart w:id="94" w:name="_Toc86824270"/>
            <w:bookmarkStart w:id="95" w:name="_Toc86822860"/>
            <w:bookmarkStart w:id="96" w:name="_Toc358906587"/>
            <w:bookmarkStart w:id="97" w:name="_Toc373571384"/>
            <w:bookmarkStart w:id="98" w:name="_Toc405300577"/>
            <w:bookmarkStart w:id="99" w:name="_Toc530942541"/>
            <w:r>
              <w:rPr>
                <w:rFonts w:hint="eastAsia"/>
                <w:b/>
                <w:bCs/>
                <w:color w:val="auto"/>
                <w:sz w:val="24"/>
              </w:rPr>
              <w:t>施工组织设计</w:t>
            </w:r>
            <w:bookmarkEnd w:id="94"/>
            <w:bookmarkEnd w:id="95"/>
            <w:bookmarkEnd w:id="96"/>
            <w:bookmarkEnd w:id="97"/>
            <w:bookmarkEnd w:id="98"/>
            <w:bookmarkEnd w:id="99"/>
          </w:p>
          <w:p>
            <w:pPr>
              <w:pStyle w:val="24"/>
              <w:rPr>
                <w:color w:val="auto"/>
              </w:rPr>
            </w:pPr>
            <w:r>
              <w:rPr>
                <w:color w:val="auto"/>
              </w:rPr>
              <w:fldChar w:fldCharType="begin"/>
            </w:r>
            <w:r>
              <w:rPr>
                <w:color w:val="auto"/>
              </w:rPr>
              <w:instrText xml:space="preserve"> = 1 \* GB2 \* MERGEFORMAT </w:instrText>
            </w:r>
            <w:r>
              <w:rPr>
                <w:color w:val="auto"/>
              </w:rPr>
              <w:fldChar w:fldCharType="separate"/>
            </w:r>
            <w:r>
              <w:rPr>
                <w:color w:val="auto"/>
              </w:rPr>
              <w:t>⑴</w:t>
            </w:r>
            <w:r>
              <w:rPr>
                <w:color w:val="auto"/>
              </w:rPr>
              <w:fldChar w:fldCharType="end"/>
            </w:r>
            <w:r>
              <w:rPr>
                <w:color w:val="auto"/>
              </w:rPr>
              <w:t>施工</w:t>
            </w:r>
            <w:r>
              <w:rPr>
                <w:rFonts w:hint="eastAsia"/>
                <w:color w:val="auto"/>
              </w:rPr>
              <w:t>条件</w:t>
            </w:r>
          </w:p>
          <w:p>
            <w:pPr>
              <w:pStyle w:val="24"/>
              <w:rPr>
                <w:color w:val="auto"/>
              </w:rPr>
            </w:pPr>
            <w:r>
              <w:rPr>
                <w:rFonts w:hint="eastAsia"/>
                <w:color w:val="auto"/>
              </w:rPr>
              <w:t>施工用水可从王洼二矿就近拉运，施工用电依托王洼二矿就近引线路解决。矿区内交通便利，</w:t>
            </w:r>
            <w:r>
              <w:rPr>
                <w:color w:val="auto"/>
              </w:rPr>
              <w:t>S202</w:t>
            </w:r>
            <w:r>
              <w:rPr>
                <w:rFonts w:hint="eastAsia"/>
                <w:color w:val="auto"/>
              </w:rPr>
              <w:t>从矿区北侧经过，并在距矿区向南约</w:t>
            </w:r>
            <w:r>
              <w:rPr>
                <w:color w:val="auto"/>
              </w:rPr>
              <w:t>5km</w:t>
            </w:r>
            <w:r>
              <w:rPr>
                <w:rFonts w:hint="eastAsia"/>
                <w:color w:val="auto"/>
              </w:rPr>
              <w:t>处与</w:t>
            </w:r>
            <w:r>
              <w:rPr>
                <w:color w:val="auto"/>
              </w:rPr>
              <w:t>G309</w:t>
            </w:r>
            <w:r>
              <w:rPr>
                <w:rFonts w:hint="eastAsia"/>
                <w:color w:val="auto"/>
              </w:rPr>
              <w:t>交汇，自</w:t>
            </w:r>
            <w:r>
              <w:rPr>
                <w:color w:val="auto"/>
              </w:rPr>
              <w:t>S202</w:t>
            </w:r>
            <w:r>
              <w:rPr>
                <w:rFonts w:hint="eastAsia"/>
                <w:color w:val="auto"/>
              </w:rPr>
              <w:t>向南接有二矿通行桥，连通矿区内部。</w:t>
            </w:r>
          </w:p>
          <w:p>
            <w:pPr>
              <w:pStyle w:val="24"/>
              <w:rPr>
                <w:color w:val="auto"/>
              </w:rPr>
            </w:pPr>
            <w:r>
              <w:rPr>
                <w:rFonts w:hint="eastAsia" w:ascii="宋体" w:hAnsi="宋体"/>
                <w:color w:val="auto"/>
              </w:rPr>
              <w:t>⑵</w:t>
            </w:r>
            <w:r>
              <w:rPr>
                <w:color w:val="auto"/>
              </w:rPr>
              <w:t>施工</w:t>
            </w:r>
            <w:r>
              <w:rPr>
                <w:rFonts w:hint="eastAsia"/>
                <w:color w:val="auto"/>
              </w:rPr>
              <w:t>导流</w:t>
            </w:r>
          </w:p>
          <w:p>
            <w:pPr>
              <w:pStyle w:val="24"/>
              <w:rPr>
                <w:color w:val="auto"/>
              </w:rPr>
            </w:pPr>
            <w:r>
              <w:rPr>
                <w:rFonts w:hint="eastAsia"/>
                <w:color w:val="auto"/>
              </w:rPr>
              <w:t>本工程排洪渠位于王洼二矿矸石场靠王洼沟左岸侧，排洪渠末端通过陡坡导入王洼沟主河槽，根据施工安排，选择在非汛期施工，因此不用设置施工围堰。基坑排水主要为降雨，可采用污水泵抽排，能满足施工要求。</w:t>
            </w:r>
          </w:p>
          <w:p>
            <w:pPr>
              <w:pStyle w:val="24"/>
              <w:rPr>
                <w:color w:val="auto"/>
              </w:rPr>
            </w:pPr>
            <w:r>
              <w:rPr>
                <w:rFonts w:hint="eastAsia" w:ascii="宋体" w:hAnsi="宋体"/>
                <w:color w:val="auto"/>
              </w:rPr>
              <w:t>⑶施工工期</w:t>
            </w:r>
          </w:p>
          <w:p>
            <w:pPr>
              <w:pStyle w:val="24"/>
              <w:rPr>
                <w:color w:val="auto"/>
              </w:rPr>
            </w:pPr>
            <w:r>
              <w:rPr>
                <w:rFonts w:hint="eastAsia"/>
                <w:color w:val="auto"/>
              </w:rPr>
              <w:t>工程施工选择在</w:t>
            </w:r>
            <w:r>
              <w:rPr>
                <w:color w:val="auto"/>
              </w:rPr>
              <w:t>2021</w:t>
            </w:r>
            <w:r>
              <w:rPr>
                <w:rFonts w:hint="eastAsia"/>
                <w:color w:val="auto"/>
              </w:rPr>
              <w:t>年</w:t>
            </w:r>
            <w:r>
              <w:rPr>
                <w:color w:val="auto"/>
              </w:rPr>
              <w:t>11</w:t>
            </w:r>
            <w:r>
              <w:rPr>
                <w:rFonts w:hint="eastAsia"/>
                <w:color w:val="auto"/>
              </w:rPr>
              <w:t>月开始施工，</w:t>
            </w:r>
            <w:r>
              <w:rPr>
                <w:color w:val="auto"/>
              </w:rPr>
              <w:t>2022</w:t>
            </w:r>
            <w:r>
              <w:rPr>
                <w:rFonts w:hint="eastAsia"/>
                <w:color w:val="auto"/>
              </w:rPr>
              <w:t>年</w:t>
            </w:r>
            <w:r>
              <w:rPr>
                <w:color w:val="auto"/>
              </w:rPr>
              <w:t>6</w:t>
            </w:r>
            <w:r>
              <w:rPr>
                <w:rFonts w:hint="eastAsia"/>
                <w:color w:val="auto"/>
              </w:rPr>
              <w:t>月完工，施工总工期</w:t>
            </w:r>
            <w:r>
              <w:rPr>
                <w:color w:val="auto"/>
              </w:rPr>
              <w:t>8</w:t>
            </w:r>
            <w:r>
              <w:rPr>
                <w:rFonts w:hint="eastAsia"/>
                <w:color w:val="auto"/>
              </w:rPr>
              <w:t>个月，其中</w:t>
            </w:r>
            <w:r>
              <w:rPr>
                <w:color w:val="auto"/>
              </w:rPr>
              <w:t>12</w:t>
            </w:r>
            <w:r>
              <w:rPr>
                <w:rFonts w:hint="eastAsia"/>
                <w:color w:val="auto"/>
              </w:rPr>
              <w:t>月</w:t>
            </w:r>
            <w:r>
              <w:rPr>
                <w:color w:val="auto"/>
              </w:rPr>
              <w:t>~</w:t>
            </w:r>
            <w:r>
              <w:rPr>
                <w:rFonts w:hint="eastAsia"/>
                <w:color w:val="auto"/>
              </w:rPr>
              <w:t>次年</w:t>
            </w:r>
            <w:r>
              <w:rPr>
                <w:color w:val="auto"/>
              </w:rPr>
              <w:t>2</w:t>
            </w:r>
            <w:r>
              <w:rPr>
                <w:rFonts w:hint="eastAsia"/>
                <w:color w:val="auto"/>
              </w:rPr>
              <w:t>月为冰冻期，不进行施工。</w:t>
            </w:r>
          </w:p>
          <w:p>
            <w:pPr>
              <w:pStyle w:val="24"/>
              <w:rPr>
                <w:color w:val="auto"/>
              </w:rPr>
            </w:pPr>
            <w:r>
              <w:rPr>
                <w:rFonts w:hint="eastAsia" w:ascii="宋体" w:hAnsi="宋体"/>
                <w:color w:val="auto"/>
              </w:rPr>
              <w:t>⑷</w:t>
            </w:r>
            <w:r>
              <w:rPr>
                <w:color w:val="auto"/>
              </w:rPr>
              <w:t>施工人员</w:t>
            </w:r>
          </w:p>
          <w:p>
            <w:pPr>
              <w:snapToGrid w:val="0"/>
              <w:spacing w:line="360" w:lineRule="auto"/>
              <w:ind w:firstLine="480" w:firstLineChars="200"/>
              <w:rPr>
                <w:color w:val="auto"/>
                <w:kern w:val="0"/>
                <w:sz w:val="24"/>
              </w:rPr>
            </w:pPr>
            <w:r>
              <w:rPr>
                <w:color w:val="auto"/>
                <w:kern w:val="0"/>
                <w:sz w:val="24"/>
              </w:rPr>
              <w:t>本工程采用本地施工队伍，主要为周边村庄村民，</w:t>
            </w:r>
            <w:r>
              <w:rPr>
                <w:color w:val="auto"/>
                <w:sz w:val="24"/>
              </w:rPr>
              <w:t>不设</w:t>
            </w:r>
            <w:r>
              <w:rPr>
                <w:color w:val="auto"/>
                <w:kern w:val="0"/>
                <w:sz w:val="24"/>
              </w:rPr>
              <w:t>施工生活营地。施工高峰期施工人数约5</w:t>
            </w:r>
            <w:r>
              <w:rPr>
                <w:rFonts w:hint="eastAsia"/>
                <w:color w:val="auto"/>
                <w:kern w:val="0"/>
                <w:sz w:val="24"/>
              </w:rPr>
              <w:t>0</w:t>
            </w:r>
            <w:r>
              <w:rPr>
                <w:color w:val="auto"/>
                <w:kern w:val="0"/>
                <w:sz w:val="24"/>
              </w:rPr>
              <w:t>人。</w:t>
            </w:r>
          </w:p>
          <w:p>
            <w:pPr>
              <w:snapToGrid w:val="0"/>
              <w:spacing w:line="360" w:lineRule="auto"/>
              <w:ind w:firstLine="480" w:firstLineChars="200"/>
              <w:rPr>
                <w:color w:val="auto"/>
                <w:kern w:val="0"/>
                <w:sz w:val="24"/>
              </w:rPr>
            </w:pPr>
            <w:r>
              <w:rPr>
                <w:rFonts w:hint="eastAsia" w:ascii="宋体" w:hAnsi="宋体"/>
                <w:color w:val="auto"/>
                <w:kern w:val="0"/>
                <w:sz w:val="24"/>
              </w:rPr>
              <w:t>⑸料场选择</w:t>
            </w:r>
          </w:p>
          <w:p>
            <w:pPr>
              <w:snapToGrid w:val="0"/>
              <w:spacing w:line="360" w:lineRule="auto"/>
              <w:ind w:firstLine="480" w:firstLineChars="200"/>
              <w:rPr>
                <w:color w:val="auto"/>
                <w:kern w:val="0"/>
                <w:sz w:val="24"/>
              </w:rPr>
            </w:pPr>
            <w:r>
              <w:rPr>
                <w:rFonts w:hint="eastAsia"/>
                <w:color w:val="auto"/>
                <w:kern w:val="0"/>
                <w:sz w:val="24"/>
              </w:rPr>
              <w:t>建筑材料市场货源充足，所需主要建筑材料通过外购商品料解决。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01" w:hRule="atLeast"/>
          <w:jc w:val="center"/>
        </w:trPr>
        <w:tc>
          <w:tcPr>
            <w:tcW w:w="788" w:type="dxa"/>
            <w:vAlign w:val="center"/>
          </w:tcPr>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pStyle w:val="2"/>
              <w:rPr>
                <w:color w:val="auto"/>
                <w:kern w:val="0"/>
                <w:sz w:val="24"/>
              </w:rPr>
            </w:pPr>
          </w:p>
          <w:p>
            <w:pPr>
              <w:rPr>
                <w:color w:val="auto"/>
                <w:kern w:val="0"/>
                <w:sz w:val="24"/>
              </w:rPr>
            </w:pPr>
          </w:p>
          <w:p>
            <w:pPr>
              <w:pStyle w:val="2"/>
              <w:rPr>
                <w:color w:val="auto"/>
              </w:rPr>
            </w:pPr>
          </w:p>
          <w:p>
            <w:pPr>
              <w:adjustRightInd w:val="0"/>
              <w:snapToGrid w:val="0"/>
              <w:jc w:val="center"/>
              <w:rPr>
                <w:color w:val="auto"/>
                <w:kern w:val="0"/>
                <w:sz w:val="24"/>
              </w:rPr>
            </w:pPr>
            <w:r>
              <w:rPr>
                <w:rFonts w:hint="eastAsia"/>
                <w:b/>
                <w:bCs/>
                <w:color w:val="auto"/>
                <w:kern w:val="0"/>
                <w:sz w:val="24"/>
              </w:rPr>
              <w:t>2</w:t>
            </w:r>
            <w:r>
              <w:rPr>
                <w:b/>
                <w:bCs/>
                <w:color w:val="auto"/>
                <w:kern w:val="0"/>
                <w:sz w:val="24"/>
              </w:rPr>
              <w:t>.5其他</w:t>
            </w: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rPr>
                <w:color w:val="auto"/>
                <w:kern w:val="0"/>
                <w:sz w:val="24"/>
              </w:rPr>
            </w:pPr>
          </w:p>
        </w:tc>
        <w:tc>
          <w:tcPr>
            <w:tcW w:w="8568" w:type="dxa"/>
          </w:tcPr>
          <w:p>
            <w:pPr>
              <w:adjustRightInd w:val="0"/>
              <w:snapToGrid w:val="0"/>
              <w:jc w:val="center"/>
            </w:pPr>
          </w:p>
          <w:p>
            <w:pPr>
              <w:adjustRightInd w:val="0"/>
              <w:snapToGrid w:val="0"/>
              <w:jc w:val="center"/>
            </w:pPr>
          </w:p>
          <w:p>
            <w:pPr>
              <w:adjustRightInd w:val="0"/>
              <w:snapToGrid w:val="0"/>
            </w:pPr>
          </w:p>
          <w:p>
            <w:pPr>
              <w:adjustRightInd w:val="0"/>
              <w:snapToGrid w:val="0"/>
              <w:jc w:val="center"/>
            </w:pPr>
          </w:p>
          <w:p>
            <w:pPr>
              <w:adjustRightInd w:val="0"/>
              <w:snapToGrid w:val="0"/>
              <w:jc w:val="center"/>
            </w:pPr>
          </w:p>
          <w:p>
            <w:pPr>
              <w:spacing w:line="360" w:lineRule="auto"/>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tc>
      </w:tr>
    </w:tbl>
    <w:p>
      <w:pPr>
        <w:adjustRightInd w:val="0"/>
        <w:snapToGrid w:val="0"/>
        <w:outlineLvl w:val="0"/>
        <w:rPr>
          <w:rFonts w:eastAsia="黑体"/>
          <w:snapToGrid w:val="0"/>
          <w:color w:val="auto"/>
          <w:sz w:val="24"/>
        </w:rPr>
      </w:pPr>
      <w:r>
        <w:rPr>
          <w:rFonts w:eastAsia="仿宋_GB2312"/>
          <w:b/>
          <w:bCs/>
          <w:color w:val="auto"/>
          <w:sz w:val="24"/>
        </w:rPr>
        <w:br w:type="page"/>
      </w:r>
      <w:r>
        <w:rPr>
          <w:b/>
          <w:color w:val="auto"/>
          <w:sz w:val="30"/>
          <w:szCs w:val="30"/>
        </w:rPr>
        <w:t>三、生态环境现状、保护目标及评价标准</w:t>
      </w:r>
    </w:p>
    <w:tbl>
      <w:tblPr>
        <w:tblStyle w:val="19"/>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04" w:type="dxa"/>
            <w:vAlign w:val="center"/>
          </w:tcPr>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b/>
                <w:bCs/>
                <w:color w:val="auto"/>
                <w:kern w:val="0"/>
                <w:sz w:val="24"/>
              </w:rPr>
            </w:pPr>
            <w:r>
              <w:rPr>
                <w:b/>
                <w:bCs/>
                <w:color w:val="auto"/>
                <w:kern w:val="0"/>
                <w:sz w:val="24"/>
              </w:rPr>
              <w:t>3.1</w:t>
            </w:r>
          </w:p>
          <w:p>
            <w:pPr>
              <w:adjustRightInd w:val="0"/>
              <w:snapToGrid w:val="0"/>
              <w:jc w:val="center"/>
              <w:rPr>
                <w:b/>
                <w:bCs/>
                <w:color w:val="auto"/>
                <w:kern w:val="0"/>
                <w:sz w:val="24"/>
              </w:rPr>
            </w:pPr>
            <w:r>
              <w:rPr>
                <w:b/>
                <w:bCs/>
                <w:color w:val="auto"/>
                <w:kern w:val="0"/>
                <w:sz w:val="24"/>
              </w:rPr>
              <w:t>生态环境现状</w:t>
            </w: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pStyle w:val="2"/>
              <w:ind w:firstLine="210"/>
              <w:rPr>
                <w:color w:val="auto"/>
              </w:rPr>
            </w:pPr>
          </w:p>
          <w:p>
            <w:pPr>
              <w:rPr>
                <w:color w:val="auto"/>
              </w:rPr>
            </w:pPr>
          </w:p>
          <w:p>
            <w:pPr>
              <w:pStyle w:val="2"/>
              <w:ind w:firstLine="210"/>
              <w:rPr>
                <w:color w:val="auto"/>
              </w:rPr>
            </w:pPr>
          </w:p>
          <w:p>
            <w:pPr>
              <w:rPr>
                <w:rFonts w:hint="eastAsia"/>
                <w:color w:val="auto"/>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b/>
                <w:bCs/>
                <w:color w:val="auto"/>
                <w:kern w:val="0"/>
                <w:sz w:val="24"/>
              </w:rPr>
            </w:pPr>
            <w:r>
              <w:rPr>
                <w:rFonts w:hint="eastAsia"/>
                <w:b/>
                <w:bCs/>
                <w:color w:val="auto"/>
                <w:kern w:val="0"/>
                <w:sz w:val="24"/>
              </w:rPr>
              <w:t>3</w:t>
            </w:r>
            <w:r>
              <w:rPr>
                <w:b/>
                <w:bCs/>
                <w:color w:val="auto"/>
                <w:kern w:val="0"/>
                <w:sz w:val="24"/>
              </w:rPr>
              <w:t>.1</w:t>
            </w:r>
          </w:p>
          <w:p>
            <w:pPr>
              <w:adjustRightInd w:val="0"/>
              <w:snapToGrid w:val="0"/>
              <w:jc w:val="center"/>
              <w:rPr>
                <w:b/>
                <w:bCs/>
                <w:color w:val="auto"/>
                <w:kern w:val="0"/>
                <w:sz w:val="24"/>
              </w:rPr>
            </w:pPr>
            <w:r>
              <w:rPr>
                <w:b/>
                <w:bCs/>
                <w:color w:val="auto"/>
                <w:kern w:val="0"/>
                <w:sz w:val="24"/>
              </w:rPr>
              <w:t>生态环境现状</w:t>
            </w: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tc>
        <w:tc>
          <w:tcPr>
            <w:tcW w:w="8253" w:type="dxa"/>
          </w:tcPr>
          <w:p>
            <w:pPr>
              <w:pStyle w:val="3"/>
              <w:adjustRightInd w:val="0"/>
              <w:spacing w:line="240" w:lineRule="auto"/>
              <w:rPr>
                <w:b/>
                <w:bCs/>
                <w:color w:val="auto"/>
                <w:spacing w:val="20"/>
                <w:sz w:val="24"/>
                <w:szCs w:val="24"/>
              </w:rPr>
            </w:pPr>
            <w:r>
              <w:rPr>
                <w:b/>
                <w:bCs/>
                <w:color w:val="auto"/>
                <w:sz w:val="24"/>
                <w:szCs w:val="24"/>
              </w:rPr>
              <w:t>建设项目所在地区域环境质量现状及主要环境问题</w:t>
            </w:r>
            <w:r>
              <w:rPr>
                <w:b/>
                <w:bCs/>
                <w:color w:val="auto"/>
                <w:spacing w:val="20"/>
                <w:sz w:val="24"/>
                <w:szCs w:val="24"/>
              </w:rPr>
              <w:t>（环境空气、地表水、地下水、声环境、生态环境等）</w:t>
            </w:r>
          </w:p>
          <w:p>
            <w:pPr>
              <w:autoSpaceDE w:val="0"/>
              <w:autoSpaceDN w:val="0"/>
              <w:adjustRightInd w:val="0"/>
              <w:snapToGrid w:val="0"/>
              <w:spacing w:line="360" w:lineRule="auto"/>
              <w:outlineLvl w:val="1"/>
              <w:rPr>
                <w:rFonts w:ascii="宋体" w:hAnsi="宋体"/>
                <w:color w:val="auto"/>
                <w:kern w:val="0"/>
                <w:sz w:val="24"/>
                <w:lang w:bidi="ar"/>
              </w:rPr>
            </w:pPr>
            <w:r>
              <w:rPr>
                <w:rFonts w:ascii="宋体" w:hAnsi="宋体" w:cs="黑体"/>
                <w:b/>
                <w:bCs/>
                <w:color w:val="auto"/>
                <w:sz w:val="24"/>
              </w:rPr>
              <w:t>3.1.1</w:t>
            </w:r>
            <w:r>
              <w:rPr>
                <w:rFonts w:hint="eastAsia" w:ascii="宋体" w:hAnsi="宋体" w:cs="黑体"/>
                <w:b/>
                <w:bCs/>
                <w:color w:val="auto"/>
                <w:sz w:val="24"/>
              </w:rPr>
              <w:t>生态环境现状</w:t>
            </w:r>
          </w:p>
          <w:p>
            <w:pPr>
              <w:autoSpaceDE w:val="0"/>
              <w:autoSpaceDN w:val="0"/>
              <w:adjustRightInd w:val="0"/>
              <w:snapToGrid w:val="0"/>
              <w:spacing w:line="360" w:lineRule="auto"/>
              <w:ind w:firstLine="482" w:firstLineChars="200"/>
              <w:outlineLvl w:val="1"/>
              <w:rPr>
                <w:rFonts w:ascii="宋体" w:hAnsi="宋体"/>
                <w:b/>
                <w:bCs/>
                <w:color w:val="auto"/>
                <w:kern w:val="0"/>
                <w:sz w:val="24"/>
                <w:lang w:bidi="ar"/>
              </w:rPr>
            </w:pPr>
            <w:r>
              <w:rPr>
                <w:rFonts w:hint="eastAsia" w:ascii="宋体" w:hAnsi="宋体"/>
                <w:b/>
                <w:bCs/>
                <w:color w:val="auto"/>
                <w:kern w:val="0"/>
                <w:sz w:val="24"/>
                <w:lang w:bidi="ar"/>
              </w:rPr>
              <w:t>1、生态功能区划</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根据《宁夏生态功能区划》（2003.10），宁夏生态功能区划共划分3个一级区，10个二级区，37个三级区。对照宁夏生态功能区划图可知，本项目所在区域属于I3-1原东彭北梁峁丘陵强度水土流失治理生态功能区，项目与宁夏生态功能区划位置关系见附图9。</w:t>
            </w:r>
          </w:p>
          <w:p>
            <w:pPr>
              <w:autoSpaceDE w:val="0"/>
              <w:autoSpaceDN w:val="0"/>
              <w:adjustRightInd w:val="0"/>
              <w:snapToGrid w:val="0"/>
              <w:spacing w:line="360" w:lineRule="auto"/>
              <w:ind w:firstLine="482" w:firstLineChars="200"/>
              <w:outlineLvl w:val="1"/>
              <w:rPr>
                <w:rFonts w:hint="eastAsia" w:ascii="宋体" w:hAnsi="宋体"/>
                <w:b/>
                <w:bCs/>
                <w:color w:val="auto"/>
                <w:kern w:val="0"/>
                <w:sz w:val="24"/>
                <w:lang w:bidi="ar"/>
              </w:rPr>
            </w:pPr>
            <w:r>
              <w:rPr>
                <w:rFonts w:ascii="宋体" w:hAnsi="宋体"/>
                <w:b/>
                <w:bCs/>
                <w:color w:val="auto"/>
                <w:kern w:val="0"/>
                <w:sz w:val="24"/>
                <w:lang w:bidi="ar"/>
              </w:rPr>
              <w:t>2</w:t>
            </w:r>
            <w:r>
              <w:rPr>
                <w:rFonts w:hint="eastAsia" w:ascii="宋体" w:hAnsi="宋体"/>
                <w:b/>
                <w:bCs/>
                <w:color w:val="auto"/>
                <w:kern w:val="0"/>
                <w:sz w:val="24"/>
                <w:lang w:bidi="ar"/>
              </w:rPr>
              <w:t>、土地利用现状</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根据《土地利用现状分类》（GB/T 21010-2017），项目所在区域土地性质</w:t>
            </w:r>
            <w:r>
              <w:rPr>
                <w:rFonts w:hint="eastAsia" w:ascii="宋体" w:hAnsi="宋体"/>
                <w:color w:val="auto"/>
                <w:kern w:val="0"/>
                <w:sz w:val="24"/>
                <w:lang w:eastAsia="zh-CN" w:bidi="ar"/>
              </w:rPr>
              <w:t>属于建设用地</w:t>
            </w:r>
            <w:r>
              <w:rPr>
                <w:rFonts w:hint="eastAsia" w:ascii="宋体" w:hAnsi="宋体"/>
                <w:color w:val="auto"/>
                <w:kern w:val="0"/>
                <w:sz w:val="24"/>
                <w:lang w:bidi="ar"/>
              </w:rPr>
              <w:t>，项目所在区域土地利用现状见附图10。</w:t>
            </w:r>
          </w:p>
          <w:p>
            <w:pPr>
              <w:autoSpaceDE w:val="0"/>
              <w:autoSpaceDN w:val="0"/>
              <w:adjustRightInd w:val="0"/>
              <w:snapToGrid w:val="0"/>
              <w:spacing w:line="360" w:lineRule="auto"/>
              <w:ind w:firstLine="482" w:firstLineChars="200"/>
              <w:outlineLvl w:val="1"/>
              <w:rPr>
                <w:rFonts w:hint="eastAsia" w:ascii="宋体" w:hAnsi="宋体"/>
                <w:b/>
                <w:bCs/>
                <w:color w:val="auto"/>
                <w:kern w:val="0"/>
                <w:sz w:val="24"/>
                <w:lang w:bidi="ar"/>
              </w:rPr>
            </w:pPr>
            <w:r>
              <w:rPr>
                <w:rFonts w:hint="eastAsia" w:ascii="宋体" w:hAnsi="宋体"/>
                <w:b/>
                <w:bCs/>
                <w:color w:val="auto"/>
                <w:kern w:val="0"/>
                <w:sz w:val="24"/>
                <w:lang w:bidi="ar"/>
              </w:rPr>
              <w:t>3、土壤及土壤侵蚀现状</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①土壤</w:t>
            </w:r>
          </w:p>
          <w:p>
            <w:pPr>
              <w:autoSpaceDE w:val="0"/>
              <w:autoSpaceDN w:val="0"/>
              <w:adjustRightInd w:val="0"/>
              <w:snapToGrid w:val="0"/>
              <w:spacing w:line="360" w:lineRule="auto"/>
              <w:ind w:firstLine="480" w:firstLineChars="200"/>
              <w:outlineLvl w:val="1"/>
              <w:rPr>
                <w:rFonts w:ascii="宋体" w:hAnsi="宋体"/>
                <w:color w:val="auto"/>
                <w:kern w:val="0"/>
                <w:sz w:val="24"/>
                <w:lang w:bidi="ar"/>
              </w:rPr>
            </w:pPr>
            <w:r>
              <w:rPr>
                <w:rFonts w:hint="eastAsia" w:ascii="宋体" w:hAnsi="宋体"/>
                <w:color w:val="auto"/>
                <w:kern w:val="0"/>
                <w:sz w:val="24"/>
                <w:lang w:bidi="ar"/>
              </w:rPr>
              <w:t>彭阳县岩土体类型以第四系黄土类土为主，广泛分布于黄土丘陵上部和各大冲沟内；其次为以沉积为主的碎屑岩岩体，零星地出露于各大冲沟内。第四系黄土类土主要为上更新统风积黄土、全新统次生黄土和冲积黄土状亚砂土。其中风积黄土分布于丘陵区地表，厚50—150m。次生黄土及黄土状亚砂土分布于冲沟内，厚10—50m。上述黄土以粉粒为主，绝大多数粉粒含量大于50%，矿物成份以长石、石英为主，结构疏松，垂直节理发育，并有针状孔隙，多属中等湿陷性黄土（湿陷系数0.03—0.07）。在红河、茹河的河漫滩，还分布有以全新统冲积层为主的粉质粘土和砂卵石，厚度一般几米至十几米，粘性土层与砂卵石层组成双层或多层结构。</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本项目所在区域土壤类型主要为侵蚀黄绵土。黄绵土广泛分布于中国黄土高原，以甘肃东部和中部、陕西北部、山西西部面积较广。常和黑垆土、灰钙土等交错存在。土层深厚而性状松脆的黄土母质，在不良的耕作和经营方式以及强烈的侵蚀作用影响下，其成土过程速度远远落后于侵蚀过程，因而土壤停留在母质状态，土壤肥力水平低。</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②土壤侵蚀</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园区区域的土壤处于中度水蚀及强度水蚀，其中中度水蚀分布最广，根据《宁夏生态功能区划》，彭阳县水蚀面积比重较大，超过75%，水力侵蚀受降雨影响从宁夏南部向北部变弱，受地貌影响局部山地由于海拔增高降雨增加侵蚀强度增高，受地表物质影响黄土丘陵区侵蚀范围广而侵蚀强度高，随着近年来暴雨较少，使水力侵蚀强度有减小趋势，随着水土保持综合治理及生态建设工作的大力开展，侵蚀程度有所减轻。</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本项目评价范围内以中度侵蚀区为主，本项目所在区域土壤侵蚀及荒漠化情况见附图11。</w:t>
            </w:r>
          </w:p>
          <w:p>
            <w:pPr>
              <w:autoSpaceDE w:val="0"/>
              <w:autoSpaceDN w:val="0"/>
              <w:adjustRightInd w:val="0"/>
              <w:snapToGrid w:val="0"/>
              <w:spacing w:line="360" w:lineRule="auto"/>
              <w:ind w:firstLine="482" w:firstLineChars="200"/>
              <w:outlineLvl w:val="1"/>
              <w:rPr>
                <w:rFonts w:hint="eastAsia" w:ascii="宋体" w:hAnsi="宋体"/>
                <w:b/>
                <w:bCs/>
                <w:color w:val="auto"/>
                <w:kern w:val="0"/>
                <w:sz w:val="24"/>
                <w:lang w:bidi="ar"/>
              </w:rPr>
            </w:pPr>
            <w:r>
              <w:rPr>
                <w:rFonts w:hint="eastAsia" w:ascii="宋体" w:hAnsi="宋体"/>
                <w:b/>
                <w:bCs/>
                <w:color w:val="auto"/>
                <w:kern w:val="0"/>
                <w:sz w:val="24"/>
                <w:lang w:bidi="ar"/>
              </w:rPr>
              <w:t>4、动、植被分布现状</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⑴植被现状调查</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①区域植被特征</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根据《中国植被》和《宁夏植被》划分，固原市植被在区系上，属于亚欧草原区亚洲中部亚区，中国中部草原区的过渡带，本项目所在区域野生植被属于宁中、宁北洪积冲积和间山平原缓坡丘陵荒漠草原及灌溉栽培植被区东部油蒿、苦豆子、荒漠草原沙地变体副小区，其植被群落特点为：区域天然植被以荒漠草原植被为主，植被耐旱、稀疏，以苦豆子、油蒿为主要建群种，与之共同群落的优势种尚分布有甘草、白草、短花针茅、牛枝子、蒙古冰草、柠条等，群落覆盖度在25%左右。</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②植物分布状况</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项目区域的植被类型有灌丛、草原、草甸、沙地植被和荒漠化草原植被，以草原带沙生植被为主。共有种子植物331种，分属51科、211属，其中野生植物48科231种，栽培植物28科100种。典型草原包括大针茅（Stipagrandis）、长芒草（Stipabungeana）、冰草（Agropyroncrisatum）、百里香（Thymusmongolicus）等类型，群落中常见植物种类以旱生和中旱生类型为主。荒漠化草原植被包括川青锦鸡儿（Caraganatibetica）、猫头刺（Oxytropisaciphylla）、西伯利亚白刺（Nitrariasibirica）和盐爪爪（Kalidiumfoliatum）。本项目区域植被区划见附图13。</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(2)动物</w:t>
            </w:r>
          </w:p>
          <w:p>
            <w:pPr>
              <w:autoSpaceDE w:val="0"/>
              <w:autoSpaceDN w:val="0"/>
              <w:adjustRightInd w:val="0"/>
              <w:snapToGrid w:val="0"/>
              <w:spacing w:line="360" w:lineRule="auto"/>
              <w:ind w:firstLine="480" w:firstLineChars="200"/>
              <w:outlineLvl w:val="1"/>
              <w:rPr>
                <w:rFonts w:hint="eastAsia" w:ascii="宋体" w:hAnsi="宋体"/>
                <w:color w:val="auto"/>
                <w:kern w:val="0"/>
                <w:sz w:val="24"/>
                <w:lang w:bidi="ar"/>
              </w:rPr>
            </w:pPr>
            <w:r>
              <w:rPr>
                <w:rFonts w:hint="eastAsia" w:ascii="宋体" w:hAnsi="宋体"/>
                <w:color w:val="auto"/>
                <w:kern w:val="0"/>
                <w:sz w:val="24"/>
                <w:lang w:bidi="ar"/>
              </w:rPr>
              <w:t>本项目所在区域人类活动较为频繁，动物主要为一些鸟类及小型啮齿类动物等，无大型野生动物，爬行类动物主要有花背蟾蜍、黑斑蛙和蛇类等；且在现场踏勘及走访过程中，项目区及其周边无珍稀、濒危或国家及自治区级保护动物的栖息地和繁殖地分布。</w:t>
            </w:r>
          </w:p>
          <w:p>
            <w:pPr>
              <w:autoSpaceDE w:val="0"/>
              <w:autoSpaceDN w:val="0"/>
              <w:adjustRightInd w:val="0"/>
              <w:snapToGrid w:val="0"/>
              <w:spacing w:line="360" w:lineRule="auto"/>
              <w:rPr>
                <w:rFonts w:ascii="宋体" w:hAnsi="宋体" w:cs="仿宋"/>
                <w:b/>
                <w:bCs/>
                <w:color w:val="auto"/>
                <w:sz w:val="24"/>
              </w:rPr>
            </w:pPr>
            <w:r>
              <w:rPr>
                <w:rFonts w:ascii="宋体" w:hAnsi="宋体" w:cs="黑体"/>
                <w:b/>
                <w:bCs/>
                <w:color w:val="auto"/>
                <w:sz w:val="24"/>
              </w:rPr>
              <w:t>3.1.2</w:t>
            </w:r>
            <w:r>
              <w:rPr>
                <w:rFonts w:hint="eastAsia" w:ascii="宋体" w:hAnsi="宋体" w:cs="黑体"/>
                <w:b/>
                <w:bCs/>
                <w:color w:val="auto"/>
                <w:sz w:val="24"/>
              </w:rPr>
              <w:t>环境空气</w:t>
            </w:r>
          </w:p>
          <w:p>
            <w:pPr>
              <w:autoSpaceDE w:val="0"/>
              <w:autoSpaceDN w:val="0"/>
              <w:adjustRightInd w:val="0"/>
              <w:snapToGrid w:val="0"/>
              <w:spacing w:line="360" w:lineRule="auto"/>
              <w:ind w:firstLine="480" w:firstLineChars="200"/>
              <w:outlineLvl w:val="1"/>
              <w:rPr>
                <w:rFonts w:ascii="宋体" w:hAnsi="宋体"/>
                <w:color w:val="auto"/>
                <w:kern w:val="0"/>
                <w:sz w:val="24"/>
                <w:lang w:bidi="ar"/>
              </w:rPr>
            </w:pPr>
            <w:r>
              <w:rPr>
                <w:rFonts w:hint="eastAsia" w:ascii="宋体" w:hAnsi="宋体"/>
                <w:color w:val="auto"/>
                <w:kern w:val="0"/>
                <w:sz w:val="24"/>
                <w:lang w:bidi="ar"/>
              </w:rPr>
              <w:t>本项目位于固原市彭阳县，所在行政区划范围为固原市，本次评价采用《2019年固原市环境质量报告书》中彭阳县的统计数据，符合《环境影响评价技术导则大气环境》(HJ2.2-2018)中环境质量数据来源要求。项目所在区域公布的环境空气质量现状评价具体见表</w:t>
            </w:r>
            <w:r>
              <w:rPr>
                <w:rFonts w:ascii="宋体" w:hAnsi="宋体"/>
                <w:color w:val="auto"/>
                <w:kern w:val="0"/>
                <w:sz w:val="24"/>
                <w:lang w:bidi="ar"/>
              </w:rPr>
              <w:t>3</w:t>
            </w:r>
            <w:r>
              <w:rPr>
                <w:rFonts w:hint="eastAsia" w:ascii="宋体" w:hAnsi="宋体"/>
                <w:color w:val="auto"/>
                <w:kern w:val="0"/>
                <w:sz w:val="24"/>
                <w:lang w:bidi="ar"/>
              </w:rPr>
              <w:t>-</w:t>
            </w:r>
            <w:r>
              <w:rPr>
                <w:rFonts w:ascii="宋体" w:hAnsi="宋体"/>
                <w:color w:val="auto"/>
                <w:kern w:val="0"/>
                <w:sz w:val="24"/>
                <w:lang w:bidi="ar"/>
              </w:rPr>
              <w:t>1</w:t>
            </w:r>
            <w:r>
              <w:rPr>
                <w:rFonts w:hint="eastAsia" w:ascii="宋体" w:hAnsi="宋体"/>
                <w:color w:val="auto"/>
                <w:kern w:val="0"/>
                <w:sz w:val="24"/>
                <w:lang w:bidi="ar"/>
              </w:rPr>
              <w:t>。</w:t>
            </w:r>
          </w:p>
          <w:p>
            <w:pPr>
              <w:pStyle w:val="6"/>
              <w:keepNext w:val="0"/>
              <w:keepLines w:val="0"/>
              <w:autoSpaceDE w:val="0"/>
              <w:autoSpaceDN w:val="0"/>
              <w:adjustRightInd w:val="0"/>
              <w:snapToGrid w:val="0"/>
              <w:spacing w:before="0" w:after="0" w:line="240" w:lineRule="auto"/>
              <w:ind w:left="635" w:right="658" w:firstLine="241" w:firstLineChars="100"/>
              <w:rPr>
                <w:rFonts w:ascii="宋体" w:hAnsi="宋体" w:eastAsia="PMingLiU" w:cs="宋体"/>
                <w:bCs/>
                <w:color w:val="auto"/>
                <w:sz w:val="24"/>
                <w:lang w:val="zh-TW" w:eastAsia="zh-TW" w:bidi="zh-CN"/>
              </w:rPr>
            </w:pPr>
            <w:r>
              <w:rPr>
                <w:rFonts w:hint="eastAsia" w:ascii="宋体" w:hAnsi="宋体" w:eastAsia="宋体" w:cs="宋体"/>
                <w:color w:val="auto"/>
                <w:sz w:val="24"/>
                <w:lang w:val="zh-TW" w:bidi="zh-CN"/>
              </w:rPr>
              <w:t>表</w:t>
            </w:r>
            <w:r>
              <w:rPr>
                <w:rFonts w:ascii="宋体" w:hAnsi="宋体" w:eastAsia="宋体" w:cs="宋体"/>
                <w:color w:val="auto"/>
                <w:sz w:val="24"/>
                <w:lang w:bidi="zh-CN"/>
              </w:rPr>
              <w:t>3</w:t>
            </w:r>
            <w:r>
              <w:rPr>
                <w:rFonts w:hint="eastAsia" w:ascii="宋体" w:hAnsi="宋体" w:eastAsia="宋体" w:cs="宋体"/>
                <w:color w:val="auto"/>
                <w:sz w:val="24"/>
                <w:lang w:bidi="zh-CN"/>
              </w:rPr>
              <w:t>-</w:t>
            </w:r>
            <w:r>
              <w:rPr>
                <w:rFonts w:ascii="宋体" w:hAnsi="宋体" w:eastAsia="宋体" w:cs="宋体"/>
                <w:color w:val="auto"/>
                <w:sz w:val="24"/>
                <w:lang w:bidi="zh-CN"/>
              </w:rPr>
              <w:t>1</w:t>
            </w:r>
            <w:r>
              <w:rPr>
                <w:rFonts w:hint="eastAsia" w:ascii="宋体" w:hAnsi="宋体" w:eastAsia="宋体" w:cs="宋体"/>
                <w:color w:val="auto"/>
                <w:sz w:val="24"/>
                <w:lang w:bidi="zh-CN"/>
              </w:rPr>
              <w:t xml:space="preserve">           </w:t>
            </w:r>
            <w:r>
              <w:rPr>
                <w:rFonts w:hint="eastAsia" w:ascii="宋体" w:hAnsi="宋体" w:eastAsia="宋体" w:cs="宋体"/>
                <w:bCs/>
                <w:color w:val="auto"/>
                <w:sz w:val="24"/>
                <w:lang w:val="zh-TW" w:bidi="zh-CN"/>
              </w:rPr>
              <w:t xml:space="preserve">环境空气现状监测结果表 </w:t>
            </w:r>
            <w:r>
              <w:rPr>
                <w:rFonts w:ascii="宋体" w:hAnsi="宋体" w:eastAsia="PMingLiU" w:cs="宋体"/>
                <w:bCs/>
                <w:color w:val="auto"/>
                <w:sz w:val="24"/>
                <w:lang w:val="zh-TW" w:eastAsia="zh-TW" w:bidi="zh-CN"/>
              </w:rPr>
              <w:t xml:space="preserve">  </w:t>
            </w:r>
            <w:r>
              <w:rPr>
                <w:rFonts w:ascii="Times New Roman" w:hAnsi="Times New Roman" w:eastAsia="PMingLiU"/>
                <w:bCs/>
                <w:color w:val="auto"/>
                <w:sz w:val="24"/>
                <w:lang w:val="zh-TW" w:eastAsia="zh-TW" w:bidi="zh-CN"/>
              </w:rPr>
              <w:t xml:space="preserve">  </w:t>
            </w:r>
            <w:r>
              <w:rPr>
                <w:rFonts w:hint="eastAsia" w:asciiTheme="minorEastAsia" w:hAnsiTheme="minorEastAsia" w:eastAsiaTheme="minorEastAsia"/>
                <w:bCs/>
                <w:color w:val="auto"/>
                <w:sz w:val="24"/>
                <w:lang w:val="zh-TW" w:eastAsia="zh-TW" w:bidi="zh-CN"/>
              </w:rPr>
              <w:t>单位：</w:t>
            </w:r>
            <w:r>
              <w:rPr>
                <w:rFonts w:ascii="Times New Roman" w:hAnsi="Times New Roman" w:eastAsia="PMingLiU"/>
                <w:bCs/>
                <w:color w:val="auto"/>
                <w:sz w:val="24"/>
                <w:lang w:val="zh-TW" w:eastAsia="zh-TW" w:bidi="zh-CN"/>
              </w:rPr>
              <w:t>μg/m</w:t>
            </w:r>
            <w:r>
              <w:rPr>
                <w:rFonts w:ascii="Times New Roman" w:hAnsi="Times New Roman" w:eastAsia="PMingLiU"/>
                <w:bCs/>
                <w:color w:val="auto"/>
                <w:sz w:val="24"/>
                <w:vertAlign w:val="superscript"/>
                <w:lang w:val="zh-TW" w:eastAsia="zh-TW" w:bidi="zh-CN"/>
              </w:rPr>
              <w:t>3</w:t>
            </w:r>
          </w:p>
          <w:tbl>
            <w:tblPr>
              <w:tblStyle w:val="1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08"/>
              <w:gridCol w:w="2483"/>
              <w:gridCol w:w="1133"/>
              <w:gridCol w:w="1032"/>
              <w:gridCol w:w="1075"/>
              <w:gridCol w:w="12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9" w:type="pct"/>
                  <w:tcBorders>
                    <w:tl2br w:val="nil"/>
                    <w:tr2bl w:val="nil"/>
                  </w:tcBorders>
                  <w:vAlign w:val="center"/>
                </w:tcPr>
                <w:p>
                  <w:pPr>
                    <w:pStyle w:val="27"/>
                    <w:autoSpaceDE w:val="0"/>
                    <w:autoSpaceDN w:val="0"/>
                    <w:adjustRightInd w:val="0"/>
                    <w:snapToGrid w:val="0"/>
                    <w:jc w:val="center"/>
                    <w:rPr>
                      <w:rFonts w:ascii="宋体" w:hAnsi="宋体" w:cs="宋体"/>
                      <w:b/>
                      <w:color w:val="auto"/>
                    </w:rPr>
                  </w:pPr>
                  <w:r>
                    <w:rPr>
                      <w:rFonts w:hint="eastAsia" w:ascii="宋体" w:hAnsi="宋体" w:cs="宋体"/>
                      <w:b/>
                      <w:color w:val="auto"/>
                    </w:rPr>
                    <w:t>污染物</w:t>
                  </w:r>
                </w:p>
              </w:tc>
              <w:tc>
                <w:tcPr>
                  <w:tcW w:w="1545" w:type="pct"/>
                  <w:tcBorders>
                    <w:tl2br w:val="nil"/>
                    <w:tr2bl w:val="nil"/>
                  </w:tcBorders>
                  <w:vAlign w:val="center"/>
                </w:tcPr>
                <w:p>
                  <w:pPr>
                    <w:pStyle w:val="27"/>
                    <w:autoSpaceDE w:val="0"/>
                    <w:autoSpaceDN w:val="0"/>
                    <w:adjustRightInd w:val="0"/>
                    <w:snapToGrid w:val="0"/>
                    <w:jc w:val="center"/>
                    <w:rPr>
                      <w:rFonts w:ascii="宋体" w:hAnsi="宋体" w:cs="宋体"/>
                      <w:b/>
                      <w:color w:val="auto"/>
                    </w:rPr>
                  </w:pPr>
                  <w:r>
                    <w:rPr>
                      <w:rFonts w:hint="eastAsia" w:ascii="宋体" w:hAnsi="宋体" w:cs="宋体"/>
                      <w:b/>
                      <w:color w:val="auto"/>
                    </w:rPr>
                    <w:t>年评价指标</w:t>
                  </w:r>
                </w:p>
              </w:tc>
              <w:tc>
                <w:tcPr>
                  <w:tcW w:w="705" w:type="pct"/>
                  <w:tcBorders>
                    <w:tl2br w:val="nil"/>
                    <w:tr2bl w:val="nil"/>
                  </w:tcBorders>
                  <w:vAlign w:val="center"/>
                </w:tcPr>
                <w:p>
                  <w:pPr>
                    <w:pStyle w:val="27"/>
                    <w:autoSpaceDE w:val="0"/>
                    <w:autoSpaceDN w:val="0"/>
                    <w:adjustRightInd w:val="0"/>
                    <w:snapToGrid w:val="0"/>
                    <w:jc w:val="center"/>
                    <w:rPr>
                      <w:rFonts w:ascii="宋体" w:hAnsi="宋体" w:cs="宋体"/>
                      <w:b/>
                      <w:color w:val="auto"/>
                    </w:rPr>
                  </w:pPr>
                  <w:r>
                    <w:rPr>
                      <w:rFonts w:hint="eastAsia" w:ascii="宋体" w:hAnsi="宋体" w:cs="宋体"/>
                      <w:b/>
                      <w:color w:val="auto"/>
                    </w:rPr>
                    <w:t>现状浓度</w:t>
                  </w:r>
                </w:p>
              </w:tc>
              <w:tc>
                <w:tcPr>
                  <w:tcW w:w="642" w:type="pct"/>
                  <w:tcBorders>
                    <w:tl2br w:val="nil"/>
                    <w:tr2bl w:val="nil"/>
                  </w:tcBorders>
                  <w:vAlign w:val="center"/>
                </w:tcPr>
                <w:p>
                  <w:pPr>
                    <w:pStyle w:val="27"/>
                    <w:autoSpaceDE w:val="0"/>
                    <w:autoSpaceDN w:val="0"/>
                    <w:adjustRightInd w:val="0"/>
                    <w:snapToGrid w:val="0"/>
                    <w:jc w:val="center"/>
                    <w:rPr>
                      <w:rFonts w:ascii="宋体" w:hAnsi="宋体" w:cs="宋体"/>
                      <w:b/>
                      <w:color w:val="auto"/>
                    </w:rPr>
                  </w:pPr>
                  <w:r>
                    <w:rPr>
                      <w:rFonts w:hint="eastAsia" w:ascii="宋体" w:hAnsi="宋体" w:cs="宋体"/>
                      <w:b/>
                      <w:color w:val="auto"/>
                    </w:rPr>
                    <w:t>标准值</w:t>
                  </w:r>
                </w:p>
              </w:tc>
              <w:tc>
                <w:tcPr>
                  <w:tcW w:w="669" w:type="pct"/>
                  <w:tcBorders>
                    <w:tl2br w:val="nil"/>
                    <w:tr2bl w:val="nil"/>
                  </w:tcBorders>
                  <w:vAlign w:val="center"/>
                </w:tcPr>
                <w:p>
                  <w:pPr>
                    <w:pStyle w:val="27"/>
                    <w:autoSpaceDE w:val="0"/>
                    <w:autoSpaceDN w:val="0"/>
                    <w:adjustRightInd w:val="0"/>
                    <w:snapToGrid w:val="0"/>
                    <w:jc w:val="center"/>
                    <w:rPr>
                      <w:rFonts w:ascii="宋体" w:hAnsi="宋体" w:cs="宋体"/>
                      <w:b/>
                      <w:color w:val="auto"/>
                    </w:rPr>
                  </w:pPr>
                  <w:r>
                    <w:rPr>
                      <w:rFonts w:hint="eastAsia" w:ascii="宋体" w:hAnsi="宋体" w:cs="宋体"/>
                      <w:b/>
                      <w:color w:val="auto"/>
                    </w:rPr>
                    <w:t>占标率%</w:t>
                  </w:r>
                </w:p>
              </w:tc>
              <w:tc>
                <w:tcPr>
                  <w:tcW w:w="750" w:type="pct"/>
                  <w:tcBorders>
                    <w:tl2br w:val="nil"/>
                    <w:tr2bl w:val="nil"/>
                  </w:tcBorders>
                  <w:vAlign w:val="center"/>
                </w:tcPr>
                <w:p>
                  <w:pPr>
                    <w:pStyle w:val="27"/>
                    <w:autoSpaceDE w:val="0"/>
                    <w:autoSpaceDN w:val="0"/>
                    <w:adjustRightInd w:val="0"/>
                    <w:snapToGrid w:val="0"/>
                    <w:jc w:val="center"/>
                    <w:rPr>
                      <w:rFonts w:ascii="宋体" w:hAnsi="宋体" w:cs="宋体"/>
                      <w:b/>
                      <w:color w:val="auto"/>
                    </w:rPr>
                  </w:pPr>
                  <w:r>
                    <w:rPr>
                      <w:rFonts w:hint="eastAsia" w:ascii="宋体" w:hAnsi="宋体" w:cs="宋体"/>
                      <w:b/>
                      <w:color w:val="auto"/>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9" w:type="pct"/>
                  <w:tcBorders>
                    <w:tl2br w:val="nil"/>
                    <w:tr2bl w:val="nil"/>
                  </w:tcBorders>
                  <w:vAlign w:val="center"/>
                </w:tcPr>
                <w:p>
                  <w:pPr>
                    <w:pStyle w:val="27"/>
                    <w:autoSpaceDE w:val="0"/>
                    <w:autoSpaceDN w:val="0"/>
                    <w:adjustRightInd w:val="0"/>
                    <w:snapToGrid w:val="0"/>
                    <w:jc w:val="center"/>
                    <w:rPr>
                      <w:rFonts w:ascii="宋体" w:hAnsi="宋体"/>
                      <w:b/>
                      <w:color w:val="auto"/>
                      <w:sz w:val="14"/>
                    </w:rPr>
                  </w:pPr>
                  <w:r>
                    <w:rPr>
                      <w:rFonts w:ascii="宋体" w:hAnsi="宋体"/>
                      <w:b/>
                      <w:color w:val="auto"/>
                      <w:position w:val="2"/>
                    </w:rPr>
                    <w:t>PM</w:t>
                  </w:r>
                  <w:r>
                    <w:rPr>
                      <w:rFonts w:ascii="宋体" w:hAnsi="宋体"/>
                      <w:b/>
                      <w:color w:val="auto"/>
                      <w:sz w:val="14"/>
                    </w:rPr>
                    <w:t>10</w:t>
                  </w:r>
                </w:p>
              </w:tc>
              <w:tc>
                <w:tcPr>
                  <w:tcW w:w="154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年平均</w:t>
                  </w:r>
                </w:p>
              </w:tc>
              <w:tc>
                <w:tcPr>
                  <w:tcW w:w="70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66</w:t>
                  </w:r>
                </w:p>
              </w:tc>
              <w:tc>
                <w:tcPr>
                  <w:tcW w:w="642"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70</w:t>
                  </w:r>
                </w:p>
              </w:tc>
              <w:tc>
                <w:tcPr>
                  <w:tcW w:w="669"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94.3</w:t>
                  </w:r>
                </w:p>
              </w:tc>
              <w:tc>
                <w:tcPr>
                  <w:tcW w:w="750"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9" w:type="pct"/>
                  <w:tcBorders>
                    <w:tl2br w:val="nil"/>
                    <w:tr2bl w:val="nil"/>
                  </w:tcBorders>
                  <w:vAlign w:val="center"/>
                </w:tcPr>
                <w:p>
                  <w:pPr>
                    <w:pStyle w:val="27"/>
                    <w:autoSpaceDE w:val="0"/>
                    <w:autoSpaceDN w:val="0"/>
                    <w:adjustRightInd w:val="0"/>
                    <w:snapToGrid w:val="0"/>
                    <w:jc w:val="center"/>
                    <w:rPr>
                      <w:rFonts w:ascii="宋体" w:hAnsi="宋体"/>
                      <w:b/>
                      <w:color w:val="auto"/>
                      <w:sz w:val="14"/>
                    </w:rPr>
                  </w:pPr>
                  <w:r>
                    <w:rPr>
                      <w:rFonts w:ascii="宋体" w:hAnsi="宋体"/>
                      <w:b/>
                      <w:color w:val="auto"/>
                      <w:position w:val="2"/>
                    </w:rPr>
                    <w:t>PM</w:t>
                  </w:r>
                  <w:r>
                    <w:rPr>
                      <w:rFonts w:ascii="宋体" w:hAnsi="宋体"/>
                      <w:b/>
                      <w:color w:val="auto"/>
                      <w:sz w:val="14"/>
                    </w:rPr>
                    <w:t>2.5</w:t>
                  </w:r>
                </w:p>
              </w:tc>
              <w:tc>
                <w:tcPr>
                  <w:tcW w:w="154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年平均</w:t>
                  </w:r>
                </w:p>
              </w:tc>
              <w:tc>
                <w:tcPr>
                  <w:tcW w:w="70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28</w:t>
                  </w:r>
                </w:p>
              </w:tc>
              <w:tc>
                <w:tcPr>
                  <w:tcW w:w="642"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35</w:t>
                  </w:r>
                </w:p>
              </w:tc>
              <w:tc>
                <w:tcPr>
                  <w:tcW w:w="669"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80</w:t>
                  </w:r>
                </w:p>
              </w:tc>
              <w:tc>
                <w:tcPr>
                  <w:tcW w:w="750"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9" w:type="pct"/>
                  <w:tcBorders>
                    <w:tl2br w:val="nil"/>
                    <w:tr2bl w:val="nil"/>
                  </w:tcBorders>
                  <w:vAlign w:val="center"/>
                </w:tcPr>
                <w:p>
                  <w:pPr>
                    <w:pStyle w:val="27"/>
                    <w:autoSpaceDE w:val="0"/>
                    <w:autoSpaceDN w:val="0"/>
                    <w:adjustRightInd w:val="0"/>
                    <w:snapToGrid w:val="0"/>
                    <w:jc w:val="center"/>
                    <w:rPr>
                      <w:rFonts w:ascii="宋体" w:hAnsi="宋体"/>
                      <w:b/>
                      <w:color w:val="auto"/>
                      <w:sz w:val="14"/>
                    </w:rPr>
                  </w:pPr>
                  <w:r>
                    <w:rPr>
                      <w:rFonts w:ascii="宋体" w:hAnsi="宋体"/>
                      <w:b/>
                      <w:color w:val="auto"/>
                      <w:position w:val="2"/>
                    </w:rPr>
                    <w:t>SO</w:t>
                  </w:r>
                  <w:r>
                    <w:rPr>
                      <w:rFonts w:ascii="宋体" w:hAnsi="宋体"/>
                      <w:b/>
                      <w:color w:val="auto"/>
                      <w:sz w:val="14"/>
                    </w:rPr>
                    <w:t>2</w:t>
                  </w:r>
                </w:p>
              </w:tc>
              <w:tc>
                <w:tcPr>
                  <w:tcW w:w="154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年平均</w:t>
                  </w:r>
                </w:p>
              </w:tc>
              <w:tc>
                <w:tcPr>
                  <w:tcW w:w="70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19</w:t>
                  </w:r>
                </w:p>
              </w:tc>
              <w:tc>
                <w:tcPr>
                  <w:tcW w:w="642"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60</w:t>
                  </w:r>
                </w:p>
              </w:tc>
              <w:tc>
                <w:tcPr>
                  <w:tcW w:w="669"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31.7</w:t>
                  </w:r>
                </w:p>
              </w:tc>
              <w:tc>
                <w:tcPr>
                  <w:tcW w:w="750"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9" w:type="pct"/>
                  <w:tcBorders>
                    <w:tl2br w:val="nil"/>
                    <w:tr2bl w:val="nil"/>
                  </w:tcBorders>
                  <w:vAlign w:val="center"/>
                </w:tcPr>
                <w:p>
                  <w:pPr>
                    <w:pStyle w:val="27"/>
                    <w:autoSpaceDE w:val="0"/>
                    <w:autoSpaceDN w:val="0"/>
                    <w:adjustRightInd w:val="0"/>
                    <w:snapToGrid w:val="0"/>
                    <w:jc w:val="center"/>
                    <w:rPr>
                      <w:rFonts w:ascii="宋体" w:hAnsi="宋体"/>
                      <w:b/>
                      <w:color w:val="auto"/>
                      <w:sz w:val="14"/>
                    </w:rPr>
                  </w:pPr>
                  <w:r>
                    <w:rPr>
                      <w:rFonts w:ascii="宋体" w:hAnsi="宋体"/>
                      <w:b/>
                      <w:color w:val="auto"/>
                      <w:position w:val="2"/>
                    </w:rPr>
                    <w:t>NO</w:t>
                  </w:r>
                  <w:r>
                    <w:rPr>
                      <w:rFonts w:ascii="宋体" w:hAnsi="宋体"/>
                      <w:b/>
                      <w:color w:val="auto"/>
                      <w:sz w:val="14"/>
                    </w:rPr>
                    <w:t>2</w:t>
                  </w:r>
                </w:p>
              </w:tc>
              <w:tc>
                <w:tcPr>
                  <w:tcW w:w="154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年平均</w:t>
                  </w:r>
                </w:p>
              </w:tc>
              <w:tc>
                <w:tcPr>
                  <w:tcW w:w="70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14</w:t>
                  </w:r>
                </w:p>
              </w:tc>
              <w:tc>
                <w:tcPr>
                  <w:tcW w:w="642"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40</w:t>
                  </w:r>
                </w:p>
              </w:tc>
              <w:tc>
                <w:tcPr>
                  <w:tcW w:w="669"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35</w:t>
                  </w:r>
                </w:p>
              </w:tc>
              <w:tc>
                <w:tcPr>
                  <w:tcW w:w="750"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9" w:type="pct"/>
                  <w:tcBorders>
                    <w:tl2br w:val="nil"/>
                    <w:tr2bl w:val="nil"/>
                  </w:tcBorders>
                  <w:vAlign w:val="center"/>
                </w:tcPr>
                <w:p>
                  <w:pPr>
                    <w:pStyle w:val="27"/>
                    <w:autoSpaceDE w:val="0"/>
                    <w:autoSpaceDN w:val="0"/>
                    <w:adjustRightInd w:val="0"/>
                    <w:snapToGrid w:val="0"/>
                    <w:jc w:val="center"/>
                    <w:rPr>
                      <w:rFonts w:ascii="宋体" w:hAnsi="宋体"/>
                      <w:b/>
                      <w:color w:val="auto"/>
                    </w:rPr>
                  </w:pPr>
                  <w:r>
                    <w:rPr>
                      <w:rFonts w:ascii="宋体" w:hAnsi="宋体"/>
                      <w:b/>
                      <w:color w:val="auto"/>
                      <w:spacing w:val="1"/>
                    </w:rPr>
                    <w:t>C</w:t>
                  </w:r>
                  <w:r>
                    <w:rPr>
                      <w:rFonts w:ascii="宋体" w:hAnsi="宋体"/>
                      <w:b/>
                      <w:color w:val="auto"/>
                      <w:spacing w:val="-62"/>
                    </w:rPr>
                    <w:t>O</w:t>
                  </w:r>
                  <w:r>
                    <w:rPr>
                      <w:rFonts w:hint="eastAsia" w:ascii="宋体" w:hAnsi="宋体"/>
                      <w:b/>
                      <w:color w:val="auto"/>
                      <w:spacing w:val="2"/>
                    </w:rPr>
                    <w:t>（</w:t>
                  </w:r>
                  <w:r>
                    <w:rPr>
                      <w:rFonts w:ascii="宋体" w:hAnsi="宋体"/>
                      <w:b/>
                      <w:color w:val="auto"/>
                      <w:spacing w:val="-4"/>
                    </w:rPr>
                    <w:t>m</w:t>
                  </w:r>
                  <w:r>
                    <w:rPr>
                      <w:rFonts w:ascii="宋体" w:hAnsi="宋体"/>
                      <w:b/>
                      <w:color w:val="auto"/>
                    </w:rPr>
                    <w:t>g</w:t>
                  </w:r>
                  <w:r>
                    <w:rPr>
                      <w:rFonts w:ascii="宋体" w:hAnsi="宋体"/>
                      <w:b/>
                      <w:color w:val="auto"/>
                      <w:spacing w:val="-2"/>
                    </w:rPr>
                    <w:t>/</w:t>
                  </w:r>
                  <w:r>
                    <w:rPr>
                      <w:rFonts w:ascii="宋体" w:hAnsi="宋体"/>
                      <w:b/>
                      <w:color w:val="auto"/>
                      <w:spacing w:val="-3"/>
                    </w:rPr>
                    <w:t>m</w:t>
                  </w:r>
                  <w:r>
                    <w:rPr>
                      <w:rFonts w:ascii="宋体" w:hAnsi="宋体"/>
                      <w:b/>
                      <w:color w:val="auto"/>
                      <w:w w:val="99"/>
                      <w:position w:val="7"/>
                      <w:sz w:val="14"/>
                    </w:rPr>
                    <w:t>3</w:t>
                  </w:r>
                  <w:r>
                    <w:rPr>
                      <w:rFonts w:hint="eastAsia" w:ascii="宋体" w:hAnsi="宋体"/>
                      <w:b/>
                      <w:color w:val="auto"/>
                    </w:rPr>
                    <w:t>）</w:t>
                  </w:r>
                </w:p>
              </w:tc>
              <w:tc>
                <w:tcPr>
                  <w:tcW w:w="154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24小时平均第95百分位数</w:t>
                  </w:r>
                </w:p>
              </w:tc>
              <w:tc>
                <w:tcPr>
                  <w:tcW w:w="70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0.9</w:t>
                  </w:r>
                </w:p>
              </w:tc>
              <w:tc>
                <w:tcPr>
                  <w:tcW w:w="642"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4</w:t>
                  </w:r>
                </w:p>
              </w:tc>
              <w:tc>
                <w:tcPr>
                  <w:tcW w:w="669"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22.5</w:t>
                  </w:r>
                </w:p>
              </w:tc>
              <w:tc>
                <w:tcPr>
                  <w:tcW w:w="750"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9" w:type="pct"/>
                  <w:tcBorders>
                    <w:tl2br w:val="nil"/>
                    <w:tr2bl w:val="nil"/>
                  </w:tcBorders>
                  <w:vAlign w:val="center"/>
                </w:tcPr>
                <w:p>
                  <w:pPr>
                    <w:pStyle w:val="27"/>
                    <w:autoSpaceDE w:val="0"/>
                    <w:autoSpaceDN w:val="0"/>
                    <w:adjustRightInd w:val="0"/>
                    <w:snapToGrid w:val="0"/>
                    <w:jc w:val="center"/>
                    <w:rPr>
                      <w:rFonts w:ascii="宋体" w:hAnsi="宋体"/>
                      <w:b/>
                      <w:color w:val="auto"/>
                      <w:sz w:val="14"/>
                    </w:rPr>
                  </w:pPr>
                  <w:r>
                    <w:rPr>
                      <w:rFonts w:ascii="宋体" w:hAnsi="宋体"/>
                      <w:b/>
                      <w:color w:val="auto"/>
                      <w:position w:val="2"/>
                    </w:rPr>
                    <w:t>O</w:t>
                  </w:r>
                  <w:r>
                    <w:rPr>
                      <w:rFonts w:ascii="宋体" w:hAnsi="宋体"/>
                      <w:b/>
                      <w:color w:val="auto"/>
                      <w:sz w:val="14"/>
                    </w:rPr>
                    <w:t>3</w:t>
                  </w:r>
                </w:p>
              </w:tc>
              <w:tc>
                <w:tcPr>
                  <w:tcW w:w="154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日最大8小时滑动平均值的第90百分位数</w:t>
                  </w:r>
                </w:p>
              </w:tc>
              <w:tc>
                <w:tcPr>
                  <w:tcW w:w="705"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135</w:t>
                  </w:r>
                </w:p>
              </w:tc>
              <w:tc>
                <w:tcPr>
                  <w:tcW w:w="642"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160</w:t>
                  </w:r>
                </w:p>
              </w:tc>
              <w:tc>
                <w:tcPr>
                  <w:tcW w:w="669"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84.4</w:t>
                  </w:r>
                </w:p>
              </w:tc>
              <w:tc>
                <w:tcPr>
                  <w:tcW w:w="750" w:type="pct"/>
                  <w:tcBorders>
                    <w:tl2br w:val="nil"/>
                    <w:tr2bl w:val="nil"/>
                  </w:tcBorders>
                  <w:vAlign w:val="center"/>
                </w:tcPr>
                <w:p>
                  <w:pPr>
                    <w:pStyle w:val="27"/>
                    <w:autoSpaceDE w:val="0"/>
                    <w:autoSpaceDN w:val="0"/>
                    <w:adjustRightInd w:val="0"/>
                    <w:snapToGrid w:val="0"/>
                    <w:jc w:val="center"/>
                    <w:rPr>
                      <w:rFonts w:ascii="宋体" w:hAnsi="宋体"/>
                      <w:color w:val="auto"/>
                    </w:rPr>
                  </w:pPr>
                  <w:r>
                    <w:rPr>
                      <w:rFonts w:ascii="宋体" w:hAnsi="宋体"/>
                      <w:color w:val="auto"/>
                    </w:rPr>
                    <w:t>达标</w:t>
                  </w:r>
                </w:p>
              </w:tc>
            </w:tr>
          </w:tbl>
          <w:p>
            <w:pPr>
              <w:tabs>
                <w:tab w:val="left" w:pos="6663"/>
              </w:tabs>
              <w:autoSpaceDE w:val="0"/>
              <w:autoSpaceDN w:val="0"/>
              <w:adjustRightInd w:val="0"/>
              <w:snapToGrid w:val="0"/>
              <w:spacing w:line="360" w:lineRule="auto"/>
              <w:ind w:firstLine="480" w:firstLineChars="200"/>
              <w:rPr>
                <w:rFonts w:ascii="宋体" w:hAnsi="宋体" w:cs="仿宋"/>
                <w:color w:val="auto"/>
                <w:sz w:val="24"/>
                <w:lang w:val="zh-TW"/>
              </w:rPr>
            </w:pPr>
            <w:r>
              <w:rPr>
                <w:rFonts w:hint="eastAsia" w:ascii="宋体" w:hAnsi="宋体" w:cs="仿宋"/>
                <w:color w:val="auto"/>
                <w:sz w:val="24"/>
                <w:lang w:val="zh-TW"/>
              </w:rPr>
              <w:t>根据《环境影响评价技术导则 大气环境》（HJ2.2-2018）要求：城市环境空气质量达标情况评价指标为SO</w:t>
            </w:r>
            <w:r>
              <w:rPr>
                <w:rFonts w:hint="eastAsia" w:ascii="宋体" w:hAnsi="宋体" w:cs="仿宋"/>
                <w:color w:val="auto"/>
                <w:sz w:val="24"/>
                <w:vertAlign w:val="subscript"/>
                <w:lang w:val="zh-TW"/>
              </w:rPr>
              <w:t>2</w:t>
            </w:r>
            <w:r>
              <w:rPr>
                <w:rFonts w:hint="eastAsia" w:ascii="宋体" w:hAnsi="宋体" w:cs="仿宋"/>
                <w:color w:val="auto"/>
                <w:sz w:val="24"/>
                <w:lang w:val="zh-TW"/>
              </w:rPr>
              <w:t>、NO</w:t>
            </w:r>
            <w:r>
              <w:rPr>
                <w:rFonts w:hint="eastAsia" w:ascii="宋体" w:hAnsi="宋体" w:cs="仿宋"/>
                <w:color w:val="auto"/>
                <w:sz w:val="24"/>
                <w:vertAlign w:val="subscript"/>
                <w:lang w:val="zh-TW"/>
              </w:rPr>
              <w:t>2</w:t>
            </w:r>
            <w:r>
              <w:rPr>
                <w:rFonts w:hint="eastAsia" w:ascii="宋体" w:hAnsi="宋体" w:cs="仿宋"/>
                <w:color w:val="auto"/>
                <w:sz w:val="24"/>
                <w:lang w:val="zh-TW"/>
              </w:rPr>
              <w:t>、PM</w:t>
            </w:r>
            <w:r>
              <w:rPr>
                <w:rFonts w:hint="eastAsia" w:ascii="宋体" w:hAnsi="宋体" w:cs="仿宋"/>
                <w:color w:val="auto"/>
                <w:sz w:val="24"/>
                <w:vertAlign w:val="subscript"/>
                <w:lang w:val="zh-TW"/>
              </w:rPr>
              <w:t>10</w:t>
            </w:r>
            <w:r>
              <w:rPr>
                <w:rFonts w:hint="eastAsia" w:ascii="宋体" w:hAnsi="宋体" w:cs="仿宋"/>
                <w:color w:val="auto"/>
                <w:sz w:val="24"/>
                <w:lang w:val="zh-TW"/>
              </w:rPr>
              <w:t>、PM</w:t>
            </w:r>
            <w:r>
              <w:rPr>
                <w:rFonts w:hint="eastAsia" w:ascii="宋体" w:hAnsi="宋体" w:cs="仿宋"/>
                <w:color w:val="auto"/>
                <w:sz w:val="24"/>
                <w:vertAlign w:val="subscript"/>
                <w:lang w:val="zh-TW"/>
              </w:rPr>
              <w:t>2.5</w:t>
            </w:r>
            <w:r>
              <w:rPr>
                <w:rFonts w:hint="eastAsia" w:ascii="宋体" w:hAnsi="宋体" w:cs="仿宋"/>
                <w:color w:val="auto"/>
                <w:sz w:val="24"/>
                <w:lang w:val="zh-TW"/>
              </w:rPr>
              <w:t>、CO、O</w:t>
            </w:r>
            <w:r>
              <w:rPr>
                <w:rFonts w:hint="eastAsia" w:ascii="宋体" w:hAnsi="宋体" w:cs="仿宋"/>
                <w:color w:val="auto"/>
                <w:sz w:val="24"/>
                <w:vertAlign w:val="subscript"/>
                <w:lang w:val="zh-TW"/>
              </w:rPr>
              <w:t>3</w:t>
            </w:r>
            <w:r>
              <w:rPr>
                <w:rFonts w:hint="eastAsia" w:ascii="宋体" w:hAnsi="宋体" w:cs="仿宋"/>
                <w:color w:val="auto"/>
                <w:sz w:val="24"/>
                <w:lang w:val="zh-TW"/>
              </w:rPr>
              <w:t>，六项污染物全部达标即为城市环境空气质量达标。由上表可知，本项目所在区域SO</w:t>
            </w:r>
            <w:r>
              <w:rPr>
                <w:rFonts w:hint="eastAsia" w:ascii="宋体" w:hAnsi="宋体" w:cs="仿宋"/>
                <w:color w:val="auto"/>
                <w:sz w:val="24"/>
                <w:vertAlign w:val="subscript"/>
                <w:lang w:val="zh-TW"/>
              </w:rPr>
              <w:t>2</w:t>
            </w:r>
            <w:r>
              <w:rPr>
                <w:rFonts w:hint="eastAsia" w:ascii="宋体" w:hAnsi="宋体" w:cs="仿宋"/>
                <w:color w:val="auto"/>
                <w:sz w:val="24"/>
                <w:lang w:val="zh-TW"/>
              </w:rPr>
              <w:t>、NO</w:t>
            </w:r>
            <w:r>
              <w:rPr>
                <w:rFonts w:hint="eastAsia" w:ascii="宋体" w:hAnsi="宋体" w:cs="仿宋"/>
                <w:color w:val="auto"/>
                <w:sz w:val="24"/>
                <w:vertAlign w:val="subscript"/>
                <w:lang w:val="zh-TW"/>
              </w:rPr>
              <w:t>2</w:t>
            </w:r>
            <w:r>
              <w:rPr>
                <w:rFonts w:hint="eastAsia" w:ascii="宋体" w:hAnsi="宋体" w:cs="仿宋"/>
                <w:color w:val="auto"/>
                <w:sz w:val="24"/>
                <w:lang w:val="zh-TW"/>
              </w:rPr>
              <w:t>、PM</w:t>
            </w:r>
            <w:r>
              <w:rPr>
                <w:rFonts w:hint="eastAsia" w:ascii="宋体" w:hAnsi="宋体" w:cs="仿宋"/>
                <w:color w:val="auto"/>
                <w:sz w:val="24"/>
                <w:vertAlign w:val="subscript"/>
                <w:lang w:val="zh-TW"/>
              </w:rPr>
              <w:t>10</w:t>
            </w:r>
            <w:r>
              <w:rPr>
                <w:rFonts w:hint="eastAsia" w:ascii="宋体" w:hAnsi="宋体" w:cs="仿宋"/>
                <w:color w:val="auto"/>
                <w:sz w:val="24"/>
                <w:lang w:val="zh-TW"/>
              </w:rPr>
              <w:t>和PM</w:t>
            </w:r>
            <w:r>
              <w:rPr>
                <w:rFonts w:hint="eastAsia" w:ascii="宋体" w:hAnsi="宋体" w:cs="仿宋"/>
                <w:color w:val="auto"/>
                <w:sz w:val="24"/>
                <w:vertAlign w:val="subscript"/>
                <w:lang w:val="zh-TW"/>
              </w:rPr>
              <w:t>2.5</w:t>
            </w:r>
            <w:r>
              <w:rPr>
                <w:rFonts w:hint="eastAsia" w:ascii="宋体" w:hAnsi="宋体" w:cs="仿宋"/>
                <w:color w:val="auto"/>
                <w:sz w:val="24"/>
                <w:lang w:val="zh-TW"/>
              </w:rPr>
              <w:t>年平均浓度，CO日均值第95百分位数浓度和O</w:t>
            </w:r>
            <w:r>
              <w:rPr>
                <w:rFonts w:hint="eastAsia" w:ascii="宋体" w:hAnsi="宋体" w:cs="仿宋"/>
                <w:color w:val="auto"/>
                <w:sz w:val="24"/>
                <w:vertAlign w:val="subscript"/>
                <w:lang w:val="zh-TW"/>
              </w:rPr>
              <w:t>3</w:t>
            </w:r>
            <w:r>
              <w:rPr>
                <w:rFonts w:hint="eastAsia" w:ascii="宋体" w:hAnsi="宋体" w:cs="仿宋"/>
                <w:color w:val="auto"/>
                <w:sz w:val="24"/>
                <w:lang w:val="zh-TW"/>
              </w:rPr>
              <w:t>-8h日均值第90百分位数浓度均能满足《环境空气质量标准》（GB3095-2012）二级标准要求，因此，项目所在区域为达标区。</w:t>
            </w:r>
          </w:p>
          <w:p>
            <w:pPr>
              <w:autoSpaceDE w:val="0"/>
              <w:autoSpaceDN w:val="0"/>
              <w:adjustRightInd w:val="0"/>
              <w:snapToGrid w:val="0"/>
              <w:spacing w:line="360" w:lineRule="auto"/>
              <w:rPr>
                <w:rFonts w:ascii="宋体" w:hAnsi="宋体" w:cs="黑体"/>
                <w:b/>
                <w:bCs/>
                <w:color w:val="auto"/>
                <w:sz w:val="24"/>
              </w:rPr>
            </w:pPr>
            <w:r>
              <w:rPr>
                <w:rFonts w:ascii="宋体" w:hAnsi="宋体" w:cs="黑体"/>
                <w:b/>
                <w:bCs/>
                <w:color w:val="auto"/>
                <w:sz w:val="24"/>
              </w:rPr>
              <w:t>3.1.3</w:t>
            </w:r>
            <w:r>
              <w:rPr>
                <w:rFonts w:hint="eastAsia" w:ascii="宋体" w:hAnsi="宋体" w:cs="黑体"/>
                <w:b/>
                <w:bCs/>
                <w:color w:val="auto"/>
                <w:sz w:val="24"/>
              </w:rPr>
              <w:t>地表水环境</w:t>
            </w:r>
          </w:p>
          <w:p>
            <w:pPr>
              <w:pStyle w:val="27"/>
              <w:spacing w:line="360" w:lineRule="auto"/>
              <w:ind w:firstLine="480"/>
              <w:rPr>
                <w:rFonts w:ascii="宋体" w:hAnsi="宋体" w:cs="仿宋"/>
                <w:color w:val="auto"/>
                <w:sz w:val="24"/>
                <w:lang w:val="zh-TW"/>
              </w:rPr>
            </w:pPr>
            <w:r>
              <w:rPr>
                <w:rFonts w:hint="eastAsia" w:ascii="宋体" w:hAnsi="宋体" w:cs="仿宋"/>
                <w:color w:val="auto"/>
                <w:sz w:val="24"/>
                <w:lang w:val="zh-TW"/>
              </w:rPr>
              <w:t>项目区地表水体为庙台水库，距离本项目下游约</w:t>
            </w:r>
            <w:r>
              <w:rPr>
                <w:rFonts w:ascii="宋体" w:hAnsi="宋体" w:eastAsia="PMingLiU" w:cs="仿宋"/>
                <w:color w:val="auto"/>
                <w:sz w:val="24"/>
                <w:lang w:val="zh-TW" w:eastAsia="zh-TW"/>
              </w:rPr>
              <w:t>7</w:t>
            </w:r>
            <w:r>
              <w:rPr>
                <w:rFonts w:hint="eastAsia" w:ascii="宋体" w:hAnsi="宋体" w:cs="仿宋"/>
                <w:color w:val="auto"/>
                <w:sz w:val="24"/>
                <w:lang w:val="zh-TW"/>
              </w:rPr>
              <w:t>km，按《地表水环境质量标准》（GB3838-2002）Ⅲ类水体管理。本次评价引用宁夏泽瑞隆环保技术有限公司于2020年8月26日对庙台水库水质进行监测数据，水质情况见表</w:t>
            </w:r>
            <w:r>
              <w:rPr>
                <w:rFonts w:ascii="宋体" w:hAnsi="宋体" w:eastAsia="PMingLiU" w:cs="仿宋"/>
                <w:color w:val="auto"/>
                <w:sz w:val="24"/>
                <w:lang w:val="zh-TW" w:eastAsia="zh-TW"/>
              </w:rPr>
              <w:t>3</w:t>
            </w:r>
            <w:r>
              <w:rPr>
                <w:rFonts w:hint="eastAsia" w:ascii="宋体" w:hAnsi="宋体" w:cs="仿宋"/>
                <w:color w:val="auto"/>
                <w:sz w:val="24"/>
                <w:lang w:val="zh-TW"/>
              </w:rPr>
              <w:t>-</w:t>
            </w:r>
            <w:r>
              <w:rPr>
                <w:rFonts w:ascii="宋体" w:hAnsi="宋体" w:eastAsia="PMingLiU" w:cs="仿宋"/>
                <w:color w:val="auto"/>
                <w:sz w:val="24"/>
                <w:lang w:val="zh-TW" w:eastAsia="zh-TW"/>
              </w:rPr>
              <w:t>2</w:t>
            </w:r>
            <w:r>
              <w:rPr>
                <w:rFonts w:hint="eastAsia" w:ascii="宋体" w:hAnsi="宋体" w:cs="仿宋"/>
                <w:color w:val="auto"/>
                <w:sz w:val="24"/>
                <w:lang w:val="zh-TW"/>
              </w:rPr>
              <w:t>。</w:t>
            </w:r>
          </w:p>
          <w:p>
            <w:pPr>
              <w:adjustRightInd w:val="0"/>
              <w:snapToGrid w:val="0"/>
              <w:ind w:firstLine="482" w:firstLineChars="200"/>
              <w:jc w:val="left"/>
              <w:rPr>
                <w:rFonts w:ascii="宋体" w:hAnsi="宋体" w:cs="宋体"/>
                <w:b/>
                <w:color w:val="auto"/>
                <w:sz w:val="24"/>
              </w:rPr>
            </w:pPr>
            <w:r>
              <w:rPr>
                <w:rFonts w:hint="eastAsia" w:ascii="宋体" w:hAnsi="宋体" w:cs="宋体"/>
                <w:b/>
                <w:color w:val="auto"/>
                <w:sz w:val="24"/>
              </w:rPr>
              <w:t>表</w:t>
            </w:r>
            <w:r>
              <w:rPr>
                <w:rFonts w:ascii="宋体" w:hAnsi="宋体" w:cs="宋体"/>
                <w:b/>
                <w:color w:val="auto"/>
                <w:sz w:val="24"/>
              </w:rPr>
              <w:t>3</w:t>
            </w:r>
            <w:r>
              <w:rPr>
                <w:rFonts w:hint="eastAsia" w:ascii="宋体" w:hAnsi="宋体" w:cs="宋体"/>
                <w:b/>
                <w:color w:val="auto"/>
                <w:sz w:val="24"/>
              </w:rPr>
              <w:t>-</w:t>
            </w:r>
            <w:r>
              <w:rPr>
                <w:rFonts w:ascii="宋体" w:hAnsi="宋体" w:cs="宋体"/>
                <w:b/>
                <w:color w:val="auto"/>
                <w:sz w:val="24"/>
              </w:rPr>
              <w:t xml:space="preserve">2  </w:t>
            </w:r>
            <w:r>
              <w:rPr>
                <w:rFonts w:hint="eastAsia" w:ascii="宋体" w:hAnsi="宋体" w:cs="宋体"/>
                <w:b/>
                <w:color w:val="auto"/>
                <w:sz w:val="24"/>
              </w:rPr>
              <w:t xml:space="preserve">   庙台水库现状评价结果统计表     单位：mg/L，pH无量纲</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2331"/>
              <w:gridCol w:w="1792"/>
              <w:gridCol w:w="1313"/>
              <w:gridCol w:w="1394"/>
              <w:gridCol w:w="12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27" w:hRule="atLeast"/>
              </w:trPr>
              <w:tc>
                <w:tcPr>
                  <w:tcW w:w="1450" w:type="pct"/>
                  <w:vMerge w:val="restar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
                      <w:color w:val="auto"/>
                      <w:sz w:val="21"/>
                      <w:szCs w:val="21"/>
                      <w:lang w:eastAsia="zh-TW"/>
                    </w:rPr>
                  </w:pPr>
                  <w:r>
                    <w:rPr>
                      <w:rStyle w:val="45"/>
                      <w:rFonts w:hint="default" w:ascii="宋体" w:hAnsi="宋体" w:eastAsia="宋体" w:cs="宋体"/>
                      <w:b/>
                      <w:color w:val="auto"/>
                      <w:sz w:val="21"/>
                      <w:szCs w:val="21"/>
                    </w:rPr>
                    <w:t>检测项</w:t>
                  </w:r>
                  <w:r>
                    <w:rPr>
                      <w:rStyle w:val="45"/>
                      <w:rFonts w:hint="default" w:ascii="宋体" w:hAnsi="宋体" w:eastAsia="宋体"/>
                      <w:b/>
                      <w:color w:val="auto"/>
                      <w:sz w:val="21"/>
                      <w:szCs w:val="21"/>
                    </w:rPr>
                    <w:t>目</w:t>
                  </w:r>
                </w:p>
              </w:tc>
              <w:tc>
                <w:tcPr>
                  <w:tcW w:w="2799" w:type="pct"/>
                  <w:gridSpan w:val="3"/>
                  <w:tcBorders>
                    <w:tl2br w:val="nil"/>
                    <w:tr2bl w:val="nil"/>
                  </w:tcBorders>
                  <w:shd w:val="clear" w:color="auto" w:fill="auto"/>
                  <w:vAlign w:val="center"/>
                </w:tcPr>
                <w:p>
                  <w:pPr>
                    <w:adjustRightInd w:val="0"/>
                    <w:snapToGrid w:val="0"/>
                    <w:jc w:val="center"/>
                    <w:rPr>
                      <w:rFonts w:ascii="宋体" w:hAnsi="宋体"/>
                      <w:b/>
                      <w:color w:val="auto"/>
                      <w:szCs w:val="21"/>
                      <w:lang w:eastAsia="zh-TW"/>
                    </w:rPr>
                  </w:pPr>
                  <w:r>
                    <w:rPr>
                      <w:rFonts w:hint="eastAsia" w:ascii="宋体" w:hAnsi="宋体"/>
                      <w:b/>
                      <w:color w:val="auto"/>
                      <w:szCs w:val="21"/>
                    </w:rPr>
                    <w:t>2020.8.26</w:t>
                  </w:r>
                </w:p>
              </w:tc>
              <w:tc>
                <w:tcPr>
                  <w:tcW w:w="751" w:type="pct"/>
                  <w:vMerge w:val="restar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b/>
                      <w:color w:val="auto"/>
                      <w:sz w:val="21"/>
                      <w:szCs w:val="21"/>
                    </w:rPr>
                  </w:pPr>
                  <w:r>
                    <w:rPr>
                      <w:rStyle w:val="45"/>
                      <w:rFonts w:hint="default" w:ascii="宋体" w:hAnsi="宋体" w:eastAsia="宋体" w:cs="宋体"/>
                      <w:b/>
                      <w:color w:val="auto"/>
                      <w:sz w:val="21"/>
                      <w:szCs w:val="21"/>
                    </w:rPr>
                    <w:t>标</w:t>
                  </w:r>
                  <w:r>
                    <w:rPr>
                      <w:rStyle w:val="45"/>
                      <w:rFonts w:hint="default" w:ascii="宋体" w:hAnsi="宋体" w:eastAsia="宋体"/>
                      <w:b/>
                      <w:color w:val="auto"/>
                      <w:sz w:val="21"/>
                      <w:szCs w:val="21"/>
                    </w:rPr>
                    <w:t>准</w:t>
                  </w:r>
                </w:p>
                <w:p>
                  <w:pPr>
                    <w:pStyle w:val="32"/>
                    <w:shd w:val="clear" w:color="auto" w:fill="auto"/>
                    <w:adjustRightInd w:val="0"/>
                    <w:snapToGrid w:val="0"/>
                    <w:spacing w:before="0" w:line="240" w:lineRule="auto"/>
                    <w:ind w:firstLine="0" w:firstLineChars="0"/>
                    <w:jc w:val="center"/>
                    <w:rPr>
                      <w:rStyle w:val="45"/>
                      <w:rFonts w:hint="default" w:ascii="宋体" w:hAnsi="宋体" w:eastAsia="宋体"/>
                      <w:b/>
                      <w:color w:val="auto"/>
                      <w:sz w:val="21"/>
                      <w:szCs w:val="21"/>
                    </w:rPr>
                  </w:pPr>
                  <w:r>
                    <w:rPr>
                      <w:rStyle w:val="45"/>
                      <w:rFonts w:hint="default" w:ascii="宋体" w:hAnsi="宋体" w:eastAsia="宋体"/>
                      <w:b/>
                      <w:color w:val="auto"/>
                      <w:sz w:val="21"/>
                      <w:szCs w:val="21"/>
                    </w:rPr>
                    <w:t>限</w:t>
                  </w:r>
                  <w:r>
                    <w:rPr>
                      <w:rStyle w:val="45"/>
                      <w:rFonts w:hint="default" w:ascii="宋体" w:hAnsi="宋体" w:eastAsia="宋体" w:cs="宋体"/>
                      <w:b/>
                      <w:color w:val="auto"/>
                      <w:sz w:val="21"/>
                      <w:szCs w:val="21"/>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vMerge w:val="continue"/>
                  <w:tcBorders>
                    <w:tl2br w:val="nil"/>
                    <w:tr2bl w:val="nil"/>
                  </w:tcBorders>
                  <w:shd w:val="clear" w:color="auto" w:fill="auto"/>
                  <w:vAlign w:val="center"/>
                </w:tcPr>
                <w:p>
                  <w:pPr>
                    <w:widowControl/>
                    <w:adjustRightInd w:val="0"/>
                    <w:snapToGrid w:val="0"/>
                    <w:jc w:val="center"/>
                    <w:rPr>
                      <w:rFonts w:ascii="宋体" w:hAnsi="宋体" w:cs="MingLiU"/>
                      <w:b/>
                      <w:color w:val="auto"/>
                      <w:szCs w:val="21"/>
                      <w:lang w:val="zh-TW" w:eastAsia="zh-TW"/>
                    </w:rPr>
                  </w:pPr>
                </w:p>
              </w:tc>
              <w:tc>
                <w:tcPr>
                  <w:tcW w:w="1115" w:type="pct"/>
                  <w:tcBorders>
                    <w:tl2br w:val="nil"/>
                    <w:tr2bl w:val="nil"/>
                  </w:tcBorders>
                  <w:shd w:val="clear" w:color="auto" w:fill="auto"/>
                  <w:vAlign w:val="center"/>
                </w:tcPr>
                <w:p>
                  <w:pPr>
                    <w:adjustRightInd w:val="0"/>
                    <w:snapToGrid w:val="0"/>
                    <w:jc w:val="center"/>
                    <w:rPr>
                      <w:rFonts w:ascii="宋体" w:hAnsi="宋体"/>
                      <w:b/>
                      <w:color w:val="auto"/>
                      <w:szCs w:val="21"/>
                    </w:rPr>
                  </w:pPr>
                  <w:r>
                    <w:rPr>
                      <w:rFonts w:hint="eastAsia" w:ascii="宋体" w:hAnsi="宋体"/>
                      <w:b/>
                      <w:color w:val="auto"/>
                      <w:szCs w:val="21"/>
                    </w:rPr>
                    <w:t>监测值</w:t>
                  </w:r>
                </w:p>
              </w:tc>
              <w:tc>
                <w:tcPr>
                  <w:tcW w:w="817" w:type="pct"/>
                  <w:tcBorders>
                    <w:tl2br w:val="nil"/>
                    <w:tr2bl w:val="nil"/>
                  </w:tcBorders>
                  <w:shd w:val="clear" w:color="auto" w:fill="auto"/>
                  <w:vAlign w:val="center"/>
                </w:tcPr>
                <w:p>
                  <w:pPr>
                    <w:adjustRightInd w:val="0"/>
                    <w:snapToGrid w:val="0"/>
                    <w:jc w:val="center"/>
                    <w:rPr>
                      <w:rFonts w:ascii="宋体" w:hAnsi="宋体"/>
                      <w:b/>
                      <w:color w:val="auto"/>
                      <w:szCs w:val="21"/>
                    </w:rPr>
                  </w:pPr>
                  <w:r>
                    <w:rPr>
                      <w:rFonts w:hint="eastAsia" w:ascii="宋体" w:hAnsi="宋体"/>
                      <w:b/>
                      <w:color w:val="auto"/>
                      <w:szCs w:val="21"/>
                    </w:rPr>
                    <w:t>标准指数</w:t>
                  </w:r>
                </w:p>
              </w:tc>
              <w:tc>
                <w:tcPr>
                  <w:tcW w:w="867" w:type="pct"/>
                  <w:tcBorders>
                    <w:tl2br w:val="nil"/>
                    <w:tr2bl w:val="nil"/>
                  </w:tcBorders>
                  <w:shd w:val="clear" w:color="auto" w:fill="auto"/>
                  <w:vAlign w:val="center"/>
                </w:tcPr>
                <w:p>
                  <w:pPr>
                    <w:adjustRightInd w:val="0"/>
                    <w:snapToGrid w:val="0"/>
                    <w:jc w:val="center"/>
                    <w:rPr>
                      <w:rFonts w:ascii="宋体" w:hAnsi="宋体"/>
                      <w:b/>
                      <w:color w:val="auto"/>
                      <w:szCs w:val="21"/>
                    </w:rPr>
                  </w:pPr>
                  <w:r>
                    <w:rPr>
                      <w:rFonts w:hint="eastAsia" w:ascii="宋体" w:hAnsi="宋体"/>
                      <w:b/>
                      <w:color w:val="auto"/>
                      <w:szCs w:val="21"/>
                    </w:rPr>
                    <w:t>超标倍数</w:t>
                  </w:r>
                </w:p>
              </w:tc>
              <w:tc>
                <w:tcPr>
                  <w:tcW w:w="751" w:type="pct"/>
                  <w:vMerge w:val="continue"/>
                  <w:tcBorders>
                    <w:tl2br w:val="nil"/>
                    <w:tr2bl w:val="nil"/>
                  </w:tcBorders>
                  <w:shd w:val="clear" w:color="auto" w:fill="auto"/>
                  <w:vAlign w:val="center"/>
                </w:tcPr>
                <w:p>
                  <w:pPr>
                    <w:widowControl/>
                    <w:adjustRightInd w:val="0"/>
                    <w:snapToGrid w:val="0"/>
                    <w:jc w:val="center"/>
                    <w:rPr>
                      <w:rStyle w:val="45"/>
                      <w:rFonts w:hint="default" w:ascii="宋体" w:hAnsi="宋体" w:eastAsia="宋体"/>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水温</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17</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pH</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8.18</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0.59</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溶解氧</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6.73</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0.82</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高</w:t>
                  </w:r>
                  <w:r>
                    <w:rPr>
                      <w:rStyle w:val="45"/>
                      <w:rFonts w:hint="default" w:ascii="宋体" w:hAnsi="宋体" w:eastAsia="宋体" w:cs="宋体"/>
                      <w:color w:val="auto"/>
                      <w:sz w:val="21"/>
                      <w:szCs w:val="21"/>
                    </w:rPr>
                    <w:t>锰</w:t>
                  </w:r>
                  <w:r>
                    <w:rPr>
                      <w:rStyle w:val="45"/>
                      <w:rFonts w:hint="default" w:ascii="宋体" w:hAnsi="宋体" w:eastAsia="宋体"/>
                      <w:color w:val="auto"/>
                      <w:sz w:val="21"/>
                      <w:szCs w:val="21"/>
                    </w:rPr>
                    <w:t>酸</w:t>
                  </w:r>
                  <w:r>
                    <w:rPr>
                      <w:rStyle w:val="45"/>
                      <w:rFonts w:hint="default" w:ascii="宋体" w:hAnsi="宋体" w:eastAsia="宋体" w:cs="宋体"/>
                      <w:color w:val="auto"/>
                      <w:sz w:val="21"/>
                      <w:szCs w:val="21"/>
                    </w:rPr>
                    <w:t>盐</w:t>
                  </w:r>
                  <w:r>
                    <w:rPr>
                      <w:rStyle w:val="45"/>
                      <w:rFonts w:hint="default" w:ascii="宋体" w:hAnsi="宋体" w:eastAsia="宋体"/>
                      <w:color w:val="auto"/>
                      <w:sz w:val="21"/>
                      <w:szCs w:val="21"/>
                    </w:rPr>
                    <w:t>指数</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1.8</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ascii="宋体" w:hAnsi="宋体" w:eastAsia="宋体"/>
                      <w:color w:val="auto"/>
                      <w:sz w:val="21"/>
                      <w:szCs w:val="21"/>
                    </w:rPr>
                    <w:t>0.30</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lang w:eastAsia="zh-TW"/>
                    </w:rPr>
                  </w:pPr>
                  <w:r>
                    <w:rPr>
                      <w:rStyle w:val="45"/>
                      <w:rFonts w:hint="default" w:ascii="宋体" w:hAnsi="宋体" w:eastAsia="宋体"/>
                      <w:bCs/>
                      <w:color w:val="auto"/>
                      <w:sz w:val="21"/>
                      <w:szCs w:val="21"/>
                    </w:rPr>
                    <w:t>化学需氧量</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17</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ascii="宋体" w:hAnsi="宋体" w:eastAsia="宋体"/>
                      <w:bCs/>
                      <w:color w:val="auto"/>
                      <w:sz w:val="21"/>
                      <w:szCs w:val="21"/>
                    </w:rPr>
                    <w:t>0.85</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lang w:eastAsia="zh-TW"/>
                    </w:rPr>
                  </w:pPr>
                  <w:r>
                    <w:rPr>
                      <w:rFonts w:hint="eastAsia" w:ascii="宋体" w:hAnsi="宋体" w:eastAsia="宋体"/>
                      <w:bCs/>
                      <w:color w:val="auto"/>
                      <w:sz w:val="21"/>
                      <w:szCs w:val="21"/>
                      <w:lang w:eastAsia="zh-TW"/>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lang w:eastAsia="zh-TW"/>
                    </w:rPr>
                  </w:pPr>
                  <w:r>
                    <w:rPr>
                      <w:rStyle w:val="45"/>
                      <w:rFonts w:hint="default" w:ascii="宋体" w:hAnsi="宋体" w:eastAsia="宋体"/>
                      <w:bCs/>
                      <w:color w:val="auto"/>
                      <w:sz w:val="21"/>
                      <w:szCs w:val="21"/>
                    </w:rPr>
                    <w:t>五日生化需氧量</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3.6</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ascii="宋体" w:hAnsi="宋体" w:eastAsia="宋体"/>
                      <w:bCs/>
                      <w:color w:val="auto"/>
                      <w:sz w:val="21"/>
                      <w:szCs w:val="21"/>
                    </w:rPr>
                    <w:t>0.90</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lang w:eastAsia="zh-TW"/>
                    </w:rPr>
                  </w:pPr>
                  <w:r>
                    <w:rPr>
                      <w:rFonts w:hint="eastAsia" w:ascii="宋体" w:hAnsi="宋体" w:eastAsia="宋体"/>
                      <w:bCs/>
                      <w:color w:val="auto"/>
                      <w:sz w:val="21"/>
                      <w:szCs w:val="21"/>
                      <w:lang w:eastAsia="zh-TW"/>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lang w:eastAsia="zh-TW"/>
                    </w:rPr>
                  </w:pPr>
                  <w:r>
                    <w:rPr>
                      <w:rStyle w:val="45"/>
                      <w:rFonts w:hint="default" w:ascii="宋体" w:hAnsi="宋体" w:eastAsia="宋体"/>
                      <w:bCs/>
                      <w:color w:val="auto"/>
                      <w:sz w:val="21"/>
                      <w:szCs w:val="21"/>
                    </w:rPr>
                    <w:t>氨氮</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0.243</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ascii="宋体" w:hAnsi="宋体" w:eastAsia="宋体"/>
                      <w:bCs/>
                      <w:color w:val="auto"/>
                      <w:sz w:val="21"/>
                      <w:szCs w:val="21"/>
                    </w:rPr>
                    <w:t>0.24</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bCs/>
                      <w:color w:val="auto"/>
                      <w:sz w:val="21"/>
                      <w:szCs w:val="21"/>
                    </w:rPr>
                  </w:pPr>
                  <w:r>
                    <w:rPr>
                      <w:rStyle w:val="45"/>
                      <w:rFonts w:hint="default" w:ascii="宋体" w:hAnsi="宋体" w:eastAsia="宋体"/>
                      <w:bCs/>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lang w:eastAsia="zh-TW"/>
                    </w:rPr>
                  </w:pPr>
                  <w:r>
                    <w:rPr>
                      <w:rStyle w:val="45"/>
                      <w:rFonts w:hint="default" w:ascii="宋体" w:hAnsi="宋体" w:eastAsia="宋体" w:cs="宋体"/>
                      <w:bCs/>
                      <w:color w:val="auto"/>
                      <w:sz w:val="21"/>
                      <w:szCs w:val="21"/>
                    </w:rPr>
                    <w:t>总</w:t>
                  </w:r>
                  <w:r>
                    <w:rPr>
                      <w:rStyle w:val="45"/>
                      <w:rFonts w:hint="default" w:ascii="宋体" w:hAnsi="宋体" w:eastAsia="宋体"/>
                      <w:bCs/>
                      <w:color w:val="auto"/>
                      <w:sz w:val="21"/>
                      <w:szCs w:val="21"/>
                    </w:rPr>
                    <w:t>磷</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0.06</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ascii="宋体" w:hAnsi="宋体" w:eastAsia="宋体"/>
                      <w:bCs/>
                      <w:color w:val="auto"/>
                      <w:sz w:val="21"/>
                      <w:szCs w:val="21"/>
                    </w:rPr>
                    <w:t>0.30</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bCs/>
                      <w:color w:val="auto"/>
                      <w:sz w:val="21"/>
                      <w:szCs w:val="21"/>
                    </w:rPr>
                  </w:pPr>
                  <w:r>
                    <w:rPr>
                      <w:rStyle w:val="45"/>
                      <w:rFonts w:hint="default" w:ascii="宋体" w:hAnsi="宋体" w:eastAsia="宋体"/>
                      <w:bCs/>
                      <w:color w:val="auto"/>
                      <w:sz w:val="21"/>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lang w:eastAsia="zh-TW"/>
                    </w:rPr>
                  </w:pPr>
                  <w:r>
                    <w:rPr>
                      <w:rStyle w:val="45"/>
                      <w:rFonts w:hint="default" w:ascii="宋体" w:hAnsi="宋体" w:eastAsia="宋体" w:cs="宋体"/>
                      <w:bCs/>
                      <w:color w:val="auto"/>
                      <w:sz w:val="21"/>
                      <w:szCs w:val="21"/>
                    </w:rPr>
                    <w:t>总</w:t>
                  </w:r>
                  <w:r>
                    <w:rPr>
                      <w:rStyle w:val="45"/>
                      <w:rFonts w:hint="default" w:ascii="宋体" w:hAnsi="宋体" w:eastAsia="宋体"/>
                      <w:bCs/>
                      <w:color w:val="auto"/>
                      <w:sz w:val="21"/>
                      <w:szCs w:val="21"/>
                    </w:rPr>
                    <w:t>氮</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0.87</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ascii="宋体" w:hAnsi="宋体" w:eastAsia="宋体"/>
                      <w:bCs/>
                      <w:color w:val="auto"/>
                      <w:sz w:val="21"/>
                      <w:szCs w:val="21"/>
                    </w:rPr>
                    <w:t>0.87</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bCs/>
                      <w:color w:val="auto"/>
                      <w:sz w:val="21"/>
                      <w:szCs w:val="21"/>
                    </w:rPr>
                  </w:pPr>
                  <w:r>
                    <w:rPr>
                      <w:rStyle w:val="45"/>
                      <w:rFonts w:hint="default" w:ascii="宋体" w:hAnsi="宋体" w:eastAsia="宋体"/>
                      <w:bCs/>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lang w:eastAsia="zh-TW"/>
                    </w:rPr>
                  </w:pPr>
                  <w:r>
                    <w:rPr>
                      <w:rStyle w:val="45"/>
                      <w:rFonts w:hint="default" w:ascii="宋体" w:hAnsi="宋体" w:eastAsia="宋体" w:cs="宋体"/>
                      <w:bCs/>
                      <w:color w:val="auto"/>
                      <w:sz w:val="21"/>
                      <w:szCs w:val="21"/>
                    </w:rPr>
                    <w:t>铜</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0.004</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ascii="宋体" w:hAnsi="宋体" w:eastAsia="宋体"/>
                      <w:bCs/>
                      <w:color w:val="auto"/>
                      <w:sz w:val="21"/>
                      <w:szCs w:val="21"/>
                    </w:rPr>
                    <w:t>0.00</w:t>
                  </w:r>
                  <w:r>
                    <w:rPr>
                      <w:rFonts w:hint="eastAsia" w:ascii="宋体" w:hAnsi="宋体" w:eastAsia="宋体"/>
                      <w:bCs/>
                      <w:color w:val="auto"/>
                      <w:sz w:val="21"/>
                      <w:szCs w:val="21"/>
                    </w:rPr>
                    <w:t>4</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bCs/>
                      <w:color w:val="auto"/>
                      <w:sz w:val="21"/>
                      <w:szCs w:val="21"/>
                    </w:rPr>
                  </w:pPr>
                  <w:r>
                    <w:rPr>
                      <w:rFonts w:hint="eastAsia" w:ascii="宋体" w:hAnsi="宋体" w:eastAsia="宋体"/>
                      <w:bCs/>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bCs/>
                      <w:color w:val="auto"/>
                      <w:sz w:val="21"/>
                      <w:szCs w:val="21"/>
                    </w:rPr>
                  </w:pPr>
                  <w:r>
                    <w:rPr>
                      <w:rStyle w:val="45"/>
                      <w:rFonts w:hint="default" w:ascii="宋体" w:hAnsi="宋体" w:eastAsia="宋体"/>
                      <w:bCs/>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s="宋体"/>
                      <w:color w:val="auto"/>
                      <w:sz w:val="21"/>
                      <w:szCs w:val="21"/>
                    </w:rPr>
                    <w:t>锌</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0.002ND</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氟化物</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0.658</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ascii="宋体" w:hAnsi="宋体" w:eastAsia="宋体"/>
                      <w:color w:val="auto"/>
                      <w:sz w:val="21"/>
                      <w:szCs w:val="21"/>
                    </w:rPr>
                    <w:t>0.66</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硒</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0.0004ND</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砷</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0.0069</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ascii="宋体" w:hAnsi="宋体" w:eastAsia="宋体"/>
                      <w:color w:val="auto"/>
                      <w:sz w:val="21"/>
                      <w:szCs w:val="21"/>
                    </w:rPr>
                    <w:t>0.14</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汞</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0.00004ND</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s="宋体"/>
                      <w:color w:val="auto"/>
                      <w:sz w:val="21"/>
                      <w:szCs w:val="21"/>
                    </w:rPr>
                    <w:t>镉</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0.00002ND</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六价</w:t>
                  </w:r>
                  <w:r>
                    <w:rPr>
                      <w:rStyle w:val="45"/>
                      <w:rFonts w:hint="default" w:ascii="宋体" w:hAnsi="宋体" w:eastAsia="宋体" w:cs="宋体"/>
                      <w:color w:val="auto"/>
                      <w:sz w:val="21"/>
                      <w:szCs w:val="21"/>
                    </w:rPr>
                    <w:t>铬</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0.004ND</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s="宋体"/>
                      <w:color w:val="auto"/>
                      <w:sz w:val="21"/>
                      <w:szCs w:val="21"/>
                    </w:rPr>
                    <w:t>铅</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0.0003ND</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s="宋体"/>
                      <w:color w:val="auto"/>
                      <w:sz w:val="21"/>
                      <w:szCs w:val="21"/>
                    </w:rPr>
                    <w:t>氰</w:t>
                  </w:r>
                  <w:r>
                    <w:rPr>
                      <w:rStyle w:val="45"/>
                      <w:rFonts w:hint="default" w:ascii="宋体" w:hAnsi="宋体" w:eastAsia="宋体"/>
                      <w:color w:val="auto"/>
                      <w:sz w:val="21"/>
                      <w:szCs w:val="21"/>
                    </w:rPr>
                    <w:t>化物</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0.004ND</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s="宋体"/>
                      <w:color w:val="auto"/>
                      <w:sz w:val="21"/>
                      <w:szCs w:val="21"/>
                    </w:rPr>
                    <w:t>挥发</w:t>
                  </w:r>
                  <w:r>
                    <w:rPr>
                      <w:rStyle w:val="45"/>
                      <w:rFonts w:hint="default" w:ascii="宋体" w:hAnsi="宋体" w:eastAsia="宋体"/>
                      <w:color w:val="auto"/>
                      <w:sz w:val="21"/>
                      <w:szCs w:val="21"/>
                    </w:rPr>
                    <w:t>酚</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0.0029</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ascii="宋体" w:hAnsi="宋体" w:eastAsia="宋体"/>
                      <w:color w:val="auto"/>
                      <w:sz w:val="21"/>
                      <w:szCs w:val="21"/>
                    </w:rPr>
                    <w:t>0.58</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石油</w:t>
                  </w:r>
                  <w:r>
                    <w:rPr>
                      <w:rStyle w:val="45"/>
                      <w:rFonts w:hint="default" w:ascii="宋体" w:hAnsi="宋体" w:eastAsia="宋体" w:cs="宋体"/>
                      <w:color w:val="auto"/>
                      <w:sz w:val="21"/>
                      <w:szCs w:val="21"/>
                    </w:rPr>
                    <w:t>类</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0.03</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ascii="宋体" w:hAnsi="宋体" w:eastAsia="宋体"/>
                      <w:color w:val="auto"/>
                      <w:sz w:val="21"/>
                      <w:szCs w:val="21"/>
                    </w:rPr>
                    <w:t>0.60</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阴离子表面活性</w:t>
                  </w:r>
                  <w:r>
                    <w:rPr>
                      <w:rStyle w:val="45"/>
                      <w:rFonts w:hint="default" w:ascii="宋体" w:hAnsi="宋体" w:eastAsia="宋体" w:cs="宋体"/>
                      <w:color w:val="auto"/>
                      <w:sz w:val="21"/>
                      <w:szCs w:val="21"/>
                    </w:rPr>
                    <w:t>剂</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0.05ND</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5" w:hRule="atLeast"/>
              </w:trPr>
              <w:tc>
                <w:tcPr>
                  <w:tcW w:w="1450"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lang w:eastAsia="zh-TW"/>
                    </w:rPr>
                  </w:pPr>
                  <w:r>
                    <w:rPr>
                      <w:rStyle w:val="45"/>
                      <w:rFonts w:hint="default" w:ascii="宋体" w:hAnsi="宋体" w:eastAsia="宋体"/>
                      <w:color w:val="auto"/>
                      <w:sz w:val="21"/>
                      <w:szCs w:val="21"/>
                    </w:rPr>
                    <w:t>硫化物</w:t>
                  </w:r>
                </w:p>
              </w:tc>
              <w:tc>
                <w:tcPr>
                  <w:tcW w:w="1115"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0.005ND</w:t>
                  </w:r>
                </w:p>
              </w:tc>
              <w:tc>
                <w:tcPr>
                  <w:tcW w:w="81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867"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Fonts w:ascii="宋体" w:hAnsi="宋体" w:eastAsia="宋体"/>
                      <w:color w:val="auto"/>
                      <w:sz w:val="21"/>
                      <w:szCs w:val="21"/>
                    </w:rPr>
                  </w:pPr>
                  <w:r>
                    <w:rPr>
                      <w:rFonts w:hint="eastAsia" w:ascii="宋体" w:hAnsi="宋体" w:eastAsia="宋体"/>
                      <w:color w:val="auto"/>
                      <w:sz w:val="21"/>
                      <w:szCs w:val="21"/>
                    </w:rPr>
                    <w:t>/</w:t>
                  </w:r>
                </w:p>
              </w:tc>
              <w:tc>
                <w:tcPr>
                  <w:tcW w:w="751" w:type="pct"/>
                  <w:tcBorders>
                    <w:tl2br w:val="nil"/>
                    <w:tr2bl w:val="nil"/>
                  </w:tcBorders>
                  <w:shd w:val="clear" w:color="auto" w:fill="auto"/>
                  <w:vAlign w:val="center"/>
                </w:tcPr>
                <w:p>
                  <w:pPr>
                    <w:pStyle w:val="32"/>
                    <w:shd w:val="clear" w:color="auto" w:fill="auto"/>
                    <w:adjustRightInd w:val="0"/>
                    <w:snapToGrid w:val="0"/>
                    <w:spacing w:before="0" w:line="240" w:lineRule="auto"/>
                    <w:ind w:firstLine="0" w:firstLineChars="0"/>
                    <w:jc w:val="center"/>
                    <w:rPr>
                      <w:rStyle w:val="45"/>
                      <w:rFonts w:hint="default" w:ascii="宋体" w:hAnsi="宋体" w:eastAsia="宋体"/>
                      <w:color w:val="auto"/>
                      <w:sz w:val="21"/>
                      <w:szCs w:val="21"/>
                    </w:rPr>
                  </w:pPr>
                  <w:r>
                    <w:rPr>
                      <w:rStyle w:val="45"/>
                      <w:rFonts w:hint="default" w:ascii="宋体" w:hAnsi="宋体" w:eastAsia="宋体"/>
                      <w:color w:val="auto"/>
                      <w:sz w:val="21"/>
                      <w:szCs w:val="21"/>
                    </w:rPr>
                    <w:t>0.2</w:t>
                  </w:r>
                </w:p>
              </w:tc>
            </w:tr>
          </w:tbl>
          <w:p>
            <w:pPr>
              <w:autoSpaceDE w:val="0"/>
              <w:autoSpaceDN w:val="0"/>
              <w:adjustRightInd w:val="0"/>
              <w:snapToGrid w:val="0"/>
              <w:spacing w:line="360" w:lineRule="auto"/>
              <w:rPr>
                <w:rFonts w:ascii="宋体" w:hAnsi="宋体" w:cs="黑体"/>
                <w:b/>
                <w:bCs/>
                <w:color w:val="auto"/>
                <w:sz w:val="24"/>
              </w:rPr>
            </w:pPr>
            <w:r>
              <w:rPr>
                <w:rFonts w:ascii="宋体" w:hAnsi="宋体" w:cs="黑体"/>
                <w:b/>
                <w:bCs/>
                <w:color w:val="auto"/>
                <w:sz w:val="24"/>
              </w:rPr>
              <w:t>3.1.4</w:t>
            </w:r>
            <w:r>
              <w:rPr>
                <w:rFonts w:hint="eastAsia" w:ascii="宋体" w:hAnsi="宋体" w:cs="黑体"/>
                <w:b/>
                <w:bCs/>
                <w:color w:val="auto"/>
                <w:sz w:val="24"/>
              </w:rPr>
              <w:t>地下水、土壤环境</w:t>
            </w:r>
          </w:p>
          <w:p>
            <w:pPr>
              <w:spacing w:line="360" w:lineRule="auto"/>
              <w:ind w:firstLine="480" w:firstLineChars="200"/>
              <w:rPr>
                <w:rFonts w:ascii="宋体" w:hAnsi="宋体" w:cs="仿宋"/>
                <w:color w:val="auto"/>
                <w:sz w:val="24"/>
              </w:rPr>
            </w:pPr>
            <w:r>
              <w:rPr>
                <w:rFonts w:hint="eastAsia" w:ascii="宋体" w:hAnsi="宋体" w:cs="仿宋"/>
                <w:color w:val="auto"/>
                <w:sz w:val="24"/>
              </w:rPr>
              <w:t>根据《建设项目环境影响报告表编制技术指南（生态影响类）（试行）》，并依据要素导则分析，本项目无需开展地下水、土壤环境影响评价。</w:t>
            </w:r>
          </w:p>
          <w:p>
            <w:pPr>
              <w:autoSpaceDE w:val="0"/>
              <w:autoSpaceDN w:val="0"/>
              <w:adjustRightInd w:val="0"/>
              <w:snapToGrid w:val="0"/>
              <w:spacing w:line="360" w:lineRule="auto"/>
              <w:rPr>
                <w:rFonts w:ascii="宋体" w:hAnsi="宋体" w:cs="黑体"/>
                <w:b/>
                <w:bCs/>
                <w:color w:val="auto"/>
                <w:sz w:val="24"/>
              </w:rPr>
            </w:pPr>
            <w:r>
              <w:rPr>
                <w:rFonts w:ascii="宋体" w:hAnsi="宋体" w:cs="黑体"/>
                <w:b/>
                <w:bCs/>
                <w:color w:val="auto"/>
                <w:sz w:val="24"/>
              </w:rPr>
              <w:t>3.1.5</w:t>
            </w:r>
            <w:r>
              <w:rPr>
                <w:rFonts w:hint="eastAsia" w:ascii="宋体" w:hAnsi="宋体" w:cs="黑体"/>
                <w:b/>
                <w:bCs/>
                <w:color w:val="auto"/>
                <w:sz w:val="24"/>
              </w:rPr>
              <w:t>声环境</w:t>
            </w:r>
          </w:p>
          <w:p>
            <w:pPr>
              <w:spacing w:line="360" w:lineRule="auto"/>
              <w:ind w:firstLine="480" w:firstLineChars="200"/>
              <w:rPr>
                <w:rFonts w:ascii="宋体" w:hAnsi="宋体" w:cs="仿宋"/>
                <w:color w:val="auto"/>
                <w:sz w:val="24"/>
              </w:rPr>
            </w:pPr>
            <w:r>
              <w:rPr>
                <w:rFonts w:hint="eastAsia" w:ascii="宋体" w:hAnsi="宋体" w:cs="仿宋"/>
                <w:color w:val="auto"/>
                <w:sz w:val="24"/>
              </w:rPr>
              <w:t>本次评价参考《建设项目环境影响报告表编制技术指南（污染影响类）（试行）》相关要求，经调查，本项目厂界50m范围内无声环境保护目标，本次评价不进行声环境现状监测。区域声环境质量现状良好。</w:t>
            </w:r>
          </w:p>
          <w:p>
            <w:pPr>
              <w:wordWrap w:val="0"/>
              <w:topLinePunct/>
              <w:spacing w:line="360" w:lineRule="auto"/>
              <w:ind w:firstLine="480" w:firstLineChars="200"/>
              <w:jc w:val="left"/>
              <w:rPr>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vAlign w:val="center"/>
          </w:tcPr>
          <w:p>
            <w:pPr>
              <w:adjustRightInd w:val="0"/>
              <w:snapToGrid w:val="0"/>
              <w:jc w:val="center"/>
              <w:rPr>
                <w:b/>
                <w:color w:val="auto"/>
                <w:sz w:val="24"/>
              </w:rPr>
            </w:pPr>
            <w:r>
              <w:rPr>
                <w:b/>
                <w:color w:val="auto"/>
                <w:sz w:val="24"/>
              </w:rPr>
              <w:t>3.2</w:t>
            </w:r>
          </w:p>
          <w:p>
            <w:pPr>
              <w:adjustRightInd w:val="0"/>
              <w:snapToGrid w:val="0"/>
              <w:jc w:val="center"/>
              <w:rPr>
                <w:color w:val="auto"/>
                <w:kern w:val="0"/>
                <w:sz w:val="24"/>
              </w:rPr>
            </w:pPr>
            <w:r>
              <w:rPr>
                <w:b/>
                <w:color w:val="auto"/>
                <w:sz w:val="24"/>
              </w:rPr>
              <w:t>与项目有关的原有环境污染和生态破坏问题</w:t>
            </w:r>
          </w:p>
        </w:tc>
        <w:tc>
          <w:tcPr>
            <w:tcW w:w="8253" w:type="dxa"/>
            <w:vAlign w:val="center"/>
          </w:tcPr>
          <w:p>
            <w:pPr>
              <w:spacing w:line="360" w:lineRule="auto"/>
              <w:ind w:firstLine="420" w:firstLineChars="200"/>
            </w:pPr>
            <w:r>
              <w:br w:type="textWrapping"/>
            </w:r>
            <w:r>
              <w:br w:type="textWrapping"/>
            </w:r>
            <w:r>
              <w:br w:type="textWrapping"/>
            </w:r>
            <w:r>
              <w:br w:type="textWrapping"/>
            </w:r>
          </w:p>
          <w:p>
            <w:pPr>
              <w:pStyle w:val="2"/>
            </w:pPr>
          </w:p>
          <w:p/>
          <w:p>
            <w:pPr>
              <w:pStyle w:val="2"/>
            </w:pPr>
          </w:p>
          <w:p/>
          <w:p>
            <w:pPr>
              <w:pStyle w:val="2"/>
            </w:pPr>
          </w:p>
          <w:p/>
          <w:p>
            <w:pPr>
              <w:pStyle w:val="2"/>
            </w:pPr>
          </w:p>
          <w:p/>
          <w:p>
            <w:pPr>
              <w:pStyle w:val="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904" w:type="dxa"/>
            <w:vAlign w:val="center"/>
          </w:tcPr>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b/>
                <w:color w:val="auto"/>
                <w:sz w:val="24"/>
              </w:rPr>
            </w:pPr>
            <w:r>
              <w:rPr>
                <w:b/>
                <w:color w:val="auto"/>
                <w:sz w:val="24"/>
              </w:rPr>
              <w:t>3.3</w:t>
            </w:r>
          </w:p>
          <w:p>
            <w:pPr>
              <w:adjustRightInd w:val="0"/>
              <w:snapToGrid w:val="0"/>
              <w:jc w:val="center"/>
              <w:rPr>
                <w:b/>
                <w:bCs/>
                <w:color w:val="auto"/>
                <w:kern w:val="0"/>
                <w:sz w:val="24"/>
              </w:rPr>
            </w:pPr>
            <w:r>
              <w:rPr>
                <w:b/>
                <w:bCs/>
                <w:color w:val="auto"/>
                <w:kern w:val="0"/>
                <w:sz w:val="24"/>
              </w:rPr>
              <w:t>生态环境保护目标</w:t>
            </w: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p>
            <w:pPr>
              <w:adjustRightInd w:val="0"/>
              <w:snapToGrid w:val="0"/>
              <w:jc w:val="center"/>
              <w:rPr>
                <w:color w:val="auto"/>
                <w:kern w:val="0"/>
                <w:sz w:val="24"/>
              </w:rPr>
            </w:pPr>
          </w:p>
        </w:tc>
        <w:tc>
          <w:tcPr>
            <w:tcW w:w="8253" w:type="dxa"/>
            <w:vAlign w:val="center"/>
          </w:tcPr>
          <w:p>
            <w:pPr>
              <w:adjustRightInd w:val="0"/>
              <w:snapToGrid w:val="0"/>
              <w:spacing w:line="360" w:lineRule="auto"/>
              <w:ind w:firstLine="480" w:firstLineChars="200"/>
              <w:jc w:val="left"/>
              <w:rPr>
                <w:color w:val="auto"/>
                <w:sz w:val="24"/>
              </w:rPr>
            </w:pPr>
            <w:r>
              <w:rPr>
                <w:color w:val="auto"/>
                <w:sz w:val="24"/>
              </w:rPr>
              <w:t>本项目位于</w:t>
            </w:r>
            <w:r>
              <w:rPr>
                <w:rFonts w:hint="eastAsia"/>
                <w:color w:val="auto"/>
                <w:sz w:val="24"/>
              </w:rPr>
              <w:t>王洼沟内，项目区域无</w:t>
            </w:r>
            <w:r>
              <w:rPr>
                <w:color w:val="auto"/>
                <w:sz w:val="24"/>
              </w:rPr>
              <w:t>自然保护区、风景名胜区、国家重点文物保护单位、珍稀动植物等环境敏感区；项目区域无集中式饮用水水源（包括己建成的在用、备用、应急水源地，在建和规划的水源地）保护区，不属于供水水源地准保护区及热水、矿泉水、温泉等特殊地下水源保护区和补给径流区。</w:t>
            </w:r>
            <w:r>
              <w:rPr>
                <w:rFonts w:hint="eastAsia"/>
                <w:color w:val="auto"/>
                <w:sz w:val="24"/>
              </w:rPr>
              <w:t>《建设项目环境影响报告表编制技术指南（生态影响类）（试行）》中“按照环境影响评价相关技术导则要求确定评价范围并识别环境保护目标”的原则，并参照《建设项目环境影响报告表编制技术指南（污染影响类）（试行）》，</w:t>
            </w:r>
            <w:r>
              <w:rPr>
                <w:rFonts w:hint="eastAsia"/>
                <w:bCs/>
                <w:color w:val="auto"/>
                <w:sz w:val="24"/>
              </w:rPr>
              <w:t>本次各要素生态环境保护目标识别范围见附图</w:t>
            </w:r>
            <w:r>
              <w:rPr>
                <w:bCs/>
                <w:color w:val="auto"/>
                <w:sz w:val="24"/>
              </w:rPr>
              <w:t>15</w:t>
            </w:r>
            <w:r>
              <w:rPr>
                <w:rFonts w:hint="eastAsia"/>
                <w:bCs/>
                <w:color w:val="auto"/>
                <w:sz w:val="24"/>
              </w:rPr>
              <w:t>，</w:t>
            </w:r>
            <w:r>
              <w:rPr>
                <w:color w:val="auto"/>
                <w:sz w:val="24"/>
              </w:rPr>
              <w:t>环境保护目标</w:t>
            </w:r>
            <w:r>
              <w:rPr>
                <w:rFonts w:hint="eastAsia"/>
                <w:color w:val="auto"/>
                <w:sz w:val="24"/>
              </w:rPr>
              <w:t>分布情况</w:t>
            </w:r>
            <w:r>
              <w:rPr>
                <w:color w:val="auto"/>
                <w:sz w:val="24"/>
              </w:rPr>
              <w:t>具体见表3-3，</w:t>
            </w:r>
            <w:r>
              <w:rPr>
                <w:rFonts w:hint="eastAsia"/>
                <w:color w:val="auto"/>
                <w:sz w:val="24"/>
              </w:rPr>
              <w:t>附图1</w:t>
            </w:r>
            <w:r>
              <w:rPr>
                <w:color w:val="auto"/>
                <w:sz w:val="24"/>
              </w:rPr>
              <w:t>6</w:t>
            </w:r>
            <w:r>
              <w:rPr>
                <w:rFonts w:hint="eastAsia"/>
                <w:color w:val="auto"/>
                <w:sz w:val="24"/>
              </w:rPr>
              <w:t>。</w:t>
            </w:r>
          </w:p>
          <w:p>
            <w:pPr>
              <w:adjustRightInd w:val="0"/>
              <w:snapToGrid w:val="0"/>
              <w:ind w:firstLine="482" w:firstLineChars="200"/>
              <w:jc w:val="left"/>
              <w:rPr>
                <w:color w:val="auto"/>
                <w:sz w:val="24"/>
              </w:rPr>
            </w:pPr>
            <w:r>
              <w:rPr>
                <w:b/>
                <w:color w:val="auto"/>
                <w:kern w:val="0"/>
                <w:sz w:val="24"/>
              </w:rPr>
              <w:t>表3-3            本项目</w:t>
            </w:r>
            <w:r>
              <w:rPr>
                <w:rFonts w:hint="eastAsia"/>
                <w:b/>
                <w:color w:val="auto"/>
                <w:kern w:val="0"/>
                <w:sz w:val="24"/>
              </w:rPr>
              <w:t>环境</w:t>
            </w:r>
            <w:r>
              <w:rPr>
                <w:b/>
                <w:color w:val="auto"/>
                <w:kern w:val="0"/>
                <w:sz w:val="24"/>
              </w:rPr>
              <w:t>保护目标一览表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34"/>
              <w:gridCol w:w="669"/>
              <w:gridCol w:w="903"/>
              <w:gridCol w:w="1111"/>
              <w:gridCol w:w="1725"/>
              <w:gridCol w:w="18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2" w:hRule="atLeast"/>
                <w:jc w:val="center"/>
              </w:trPr>
              <w:tc>
                <w:tcPr>
                  <w:tcW w:w="1079" w:type="pct"/>
                  <w:vAlign w:val="center"/>
                </w:tcPr>
                <w:p>
                  <w:pPr>
                    <w:adjustRightInd w:val="0"/>
                    <w:snapToGrid w:val="0"/>
                    <w:jc w:val="center"/>
                    <w:rPr>
                      <w:b/>
                      <w:color w:val="auto"/>
                      <w:szCs w:val="21"/>
                    </w:rPr>
                  </w:pPr>
                  <w:r>
                    <w:rPr>
                      <w:b/>
                      <w:color w:val="auto"/>
                      <w:szCs w:val="21"/>
                    </w:rPr>
                    <w:t>保护对象</w:t>
                  </w:r>
                </w:p>
              </w:tc>
              <w:tc>
                <w:tcPr>
                  <w:tcW w:w="416" w:type="pct"/>
                  <w:vAlign w:val="center"/>
                </w:tcPr>
                <w:p>
                  <w:pPr>
                    <w:adjustRightInd w:val="0"/>
                    <w:snapToGrid w:val="0"/>
                    <w:jc w:val="center"/>
                    <w:rPr>
                      <w:b/>
                      <w:color w:val="auto"/>
                      <w:szCs w:val="21"/>
                    </w:rPr>
                  </w:pPr>
                  <w:r>
                    <w:rPr>
                      <w:b/>
                      <w:color w:val="auto"/>
                      <w:szCs w:val="21"/>
                    </w:rPr>
                    <w:t>方位</w:t>
                  </w:r>
                </w:p>
              </w:tc>
              <w:tc>
                <w:tcPr>
                  <w:tcW w:w="562" w:type="pct"/>
                  <w:vAlign w:val="center"/>
                </w:tcPr>
                <w:p>
                  <w:pPr>
                    <w:adjustRightInd w:val="0"/>
                    <w:snapToGrid w:val="0"/>
                    <w:jc w:val="center"/>
                    <w:rPr>
                      <w:b/>
                      <w:color w:val="auto"/>
                      <w:szCs w:val="21"/>
                    </w:rPr>
                  </w:pPr>
                  <w:r>
                    <w:rPr>
                      <w:b/>
                      <w:color w:val="auto"/>
                      <w:szCs w:val="21"/>
                    </w:rPr>
                    <w:t>距离</w:t>
                  </w:r>
                </w:p>
              </w:tc>
              <w:tc>
                <w:tcPr>
                  <w:tcW w:w="691" w:type="pct"/>
                  <w:vAlign w:val="center"/>
                </w:tcPr>
                <w:p>
                  <w:pPr>
                    <w:adjustRightInd w:val="0"/>
                    <w:snapToGrid w:val="0"/>
                    <w:jc w:val="center"/>
                    <w:rPr>
                      <w:b/>
                      <w:color w:val="auto"/>
                      <w:szCs w:val="21"/>
                    </w:rPr>
                  </w:pPr>
                  <w:r>
                    <w:rPr>
                      <w:b/>
                      <w:color w:val="auto"/>
                      <w:szCs w:val="21"/>
                    </w:rPr>
                    <w:t>功能</w:t>
                  </w:r>
                </w:p>
              </w:tc>
              <w:tc>
                <w:tcPr>
                  <w:tcW w:w="1073" w:type="pct"/>
                  <w:vAlign w:val="center"/>
                </w:tcPr>
                <w:p>
                  <w:pPr>
                    <w:adjustRightInd w:val="0"/>
                    <w:snapToGrid w:val="0"/>
                    <w:jc w:val="center"/>
                    <w:rPr>
                      <w:b/>
                      <w:color w:val="auto"/>
                      <w:szCs w:val="21"/>
                    </w:rPr>
                  </w:pPr>
                  <w:r>
                    <w:rPr>
                      <w:b/>
                      <w:color w:val="auto"/>
                      <w:szCs w:val="21"/>
                    </w:rPr>
                    <w:t>规模/环境特征</w:t>
                  </w:r>
                </w:p>
              </w:tc>
              <w:tc>
                <w:tcPr>
                  <w:tcW w:w="1179" w:type="pct"/>
                  <w:vAlign w:val="center"/>
                </w:tcPr>
                <w:p>
                  <w:pPr>
                    <w:adjustRightInd w:val="0"/>
                    <w:snapToGrid w:val="0"/>
                    <w:jc w:val="center"/>
                    <w:rPr>
                      <w:b/>
                      <w:color w:val="auto"/>
                      <w:szCs w:val="21"/>
                    </w:rPr>
                  </w:pPr>
                  <w:r>
                    <w:rPr>
                      <w:b/>
                      <w:color w:val="auto"/>
                      <w:szCs w:val="21"/>
                    </w:rPr>
                    <w:t>达到的标准或要求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5000" w:type="pct"/>
                  <w:gridSpan w:val="6"/>
                  <w:vAlign w:val="center"/>
                </w:tcPr>
                <w:p>
                  <w:pPr>
                    <w:adjustRightInd w:val="0"/>
                    <w:snapToGrid w:val="0"/>
                    <w:jc w:val="center"/>
                    <w:rPr>
                      <w:b/>
                      <w:color w:val="auto"/>
                      <w:szCs w:val="21"/>
                    </w:rPr>
                  </w:pPr>
                  <w:r>
                    <w:rPr>
                      <w:rFonts w:hint="eastAsia"/>
                      <w:b/>
                      <w:color w:val="auto"/>
                      <w:szCs w:val="21"/>
                    </w:rPr>
                    <w:t>一</w:t>
                  </w:r>
                  <w:r>
                    <w:rPr>
                      <w:b/>
                      <w:color w:val="auto"/>
                      <w:szCs w:val="21"/>
                    </w:rPr>
                    <w:t>、环境空气保护目标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8" w:hRule="atLeast"/>
                <w:jc w:val="center"/>
              </w:trPr>
              <w:tc>
                <w:tcPr>
                  <w:tcW w:w="1079" w:type="pct"/>
                  <w:vAlign w:val="center"/>
                </w:tcPr>
                <w:p>
                  <w:pPr>
                    <w:adjustRightInd w:val="0"/>
                    <w:snapToGrid w:val="0"/>
                    <w:jc w:val="center"/>
                    <w:rPr>
                      <w:color w:val="auto"/>
                      <w:szCs w:val="21"/>
                    </w:rPr>
                  </w:pPr>
                  <w:r>
                    <w:rPr>
                      <w:rFonts w:hint="eastAsia"/>
                      <w:color w:val="auto"/>
                      <w:szCs w:val="21"/>
                    </w:rPr>
                    <w:t>韩家</w:t>
                  </w:r>
                </w:p>
              </w:tc>
              <w:tc>
                <w:tcPr>
                  <w:tcW w:w="416" w:type="pct"/>
                  <w:vAlign w:val="center"/>
                </w:tcPr>
                <w:p>
                  <w:pPr>
                    <w:adjustRightInd w:val="0"/>
                    <w:snapToGrid w:val="0"/>
                    <w:jc w:val="center"/>
                    <w:rPr>
                      <w:color w:val="auto"/>
                      <w:szCs w:val="21"/>
                    </w:rPr>
                  </w:pPr>
                  <w:r>
                    <w:rPr>
                      <w:color w:val="auto"/>
                      <w:szCs w:val="21"/>
                    </w:rPr>
                    <w:t>S</w:t>
                  </w:r>
                </w:p>
              </w:tc>
              <w:tc>
                <w:tcPr>
                  <w:tcW w:w="562" w:type="pct"/>
                  <w:vAlign w:val="center"/>
                </w:tcPr>
                <w:p>
                  <w:pPr>
                    <w:adjustRightInd w:val="0"/>
                    <w:snapToGrid w:val="0"/>
                    <w:jc w:val="center"/>
                    <w:rPr>
                      <w:color w:val="auto"/>
                      <w:szCs w:val="21"/>
                    </w:rPr>
                  </w:pPr>
                  <w:r>
                    <w:rPr>
                      <w:color w:val="auto"/>
                      <w:szCs w:val="21"/>
                    </w:rPr>
                    <w:t>2140m</w:t>
                  </w:r>
                </w:p>
              </w:tc>
              <w:tc>
                <w:tcPr>
                  <w:tcW w:w="691" w:type="pct"/>
                  <w:vAlign w:val="center"/>
                </w:tcPr>
                <w:p>
                  <w:pPr>
                    <w:adjustRightInd w:val="0"/>
                    <w:snapToGrid w:val="0"/>
                    <w:jc w:val="center"/>
                    <w:rPr>
                      <w:color w:val="auto"/>
                      <w:szCs w:val="21"/>
                    </w:rPr>
                  </w:pPr>
                  <w:r>
                    <w:rPr>
                      <w:rFonts w:hint="eastAsia"/>
                      <w:color w:val="auto"/>
                      <w:szCs w:val="21"/>
                    </w:rPr>
                    <w:t>村庄</w:t>
                  </w:r>
                </w:p>
              </w:tc>
              <w:tc>
                <w:tcPr>
                  <w:tcW w:w="1073" w:type="pct"/>
                  <w:vAlign w:val="center"/>
                </w:tcPr>
                <w:p>
                  <w:pPr>
                    <w:adjustRightInd w:val="0"/>
                    <w:snapToGrid w:val="0"/>
                    <w:jc w:val="center"/>
                    <w:rPr>
                      <w:color w:val="auto"/>
                      <w:szCs w:val="21"/>
                    </w:rPr>
                  </w:pPr>
                  <w:r>
                    <w:rPr>
                      <w:rFonts w:hint="eastAsia"/>
                      <w:color w:val="auto"/>
                      <w:szCs w:val="21"/>
                    </w:rPr>
                    <w:t>约</w:t>
                  </w:r>
                  <w:r>
                    <w:rPr>
                      <w:color w:val="auto"/>
                      <w:szCs w:val="21"/>
                    </w:rPr>
                    <w:t>14</w:t>
                  </w:r>
                  <w:r>
                    <w:rPr>
                      <w:rFonts w:hint="eastAsia"/>
                      <w:color w:val="auto"/>
                      <w:szCs w:val="21"/>
                    </w:rPr>
                    <w:t>户，</w:t>
                  </w:r>
                  <w:r>
                    <w:rPr>
                      <w:color w:val="auto"/>
                      <w:szCs w:val="21"/>
                    </w:rPr>
                    <w:t>39</w:t>
                  </w:r>
                  <w:r>
                    <w:rPr>
                      <w:rFonts w:hint="eastAsia"/>
                      <w:color w:val="auto"/>
                      <w:szCs w:val="21"/>
                    </w:rPr>
                    <w:t>人</w:t>
                  </w:r>
                </w:p>
              </w:tc>
              <w:tc>
                <w:tcPr>
                  <w:tcW w:w="1179" w:type="pct"/>
                  <w:vMerge w:val="restart"/>
                  <w:vAlign w:val="center"/>
                </w:tcPr>
                <w:p>
                  <w:pPr>
                    <w:adjustRightInd w:val="0"/>
                    <w:snapToGrid w:val="0"/>
                    <w:jc w:val="center"/>
                    <w:rPr>
                      <w:color w:val="auto"/>
                      <w:szCs w:val="21"/>
                    </w:rPr>
                  </w:pPr>
                  <w:r>
                    <w:rPr>
                      <w:color w:val="auto"/>
                      <w:szCs w:val="21"/>
                    </w:rPr>
                    <w:t>《环境空气质量标准》（GB3095-2012）及修改单中二级标准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8" w:hRule="atLeast"/>
                <w:jc w:val="center"/>
              </w:trPr>
              <w:tc>
                <w:tcPr>
                  <w:tcW w:w="1079" w:type="pct"/>
                  <w:vAlign w:val="center"/>
                </w:tcPr>
                <w:p>
                  <w:pPr>
                    <w:adjustRightInd w:val="0"/>
                    <w:snapToGrid w:val="0"/>
                    <w:jc w:val="center"/>
                    <w:rPr>
                      <w:color w:val="auto"/>
                      <w:szCs w:val="21"/>
                    </w:rPr>
                  </w:pPr>
                  <w:r>
                    <w:rPr>
                      <w:rFonts w:hint="eastAsia"/>
                      <w:color w:val="auto"/>
                      <w:szCs w:val="21"/>
                    </w:rPr>
                    <w:t>萝卜地湾</w:t>
                  </w:r>
                </w:p>
              </w:tc>
              <w:tc>
                <w:tcPr>
                  <w:tcW w:w="416" w:type="pct"/>
                  <w:vAlign w:val="center"/>
                </w:tcPr>
                <w:p>
                  <w:pPr>
                    <w:adjustRightInd w:val="0"/>
                    <w:snapToGrid w:val="0"/>
                    <w:jc w:val="center"/>
                    <w:rPr>
                      <w:color w:val="auto"/>
                      <w:szCs w:val="21"/>
                    </w:rPr>
                  </w:pPr>
                  <w:r>
                    <w:rPr>
                      <w:color w:val="auto"/>
                      <w:szCs w:val="21"/>
                    </w:rPr>
                    <w:t>S</w:t>
                  </w:r>
                </w:p>
              </w:tc>
              <w:tc>
                <w:tcPr>
                  <w:tcW w:w="562" w:type="pct"/>
                  <w:vAlign w:val="center"/>
                </w:tcPr>
                <w:p>
                  <w:pPr>
                    <w:adjustRightInd w:val="0"/>
                    <w:snapToGrid w:val="0"/>
                    <w:jc w:val="center"/>
                    <w:rPr>
                      <w:color w:val="auto"/>
                      <w:szCs w:val="21"/>
                    </w:rPr>
                  </w:pPr>
                  <w:r>
                    <w:rPr>
                      <w:color w:val="auto"/>
                      <w:szCs w:val="21"/>
                    </w:rPr>
                    <w:t>2060m</w:t>
                  </w:r>
                </w:p>
              </w:tc>
              <w:tc>
                <w:tcPr>
                  <w:tcW w:w="691" w:type="pct"/>
                  <w:vAlign w:val="center"/>
                </w:tcPr>
                <w:p>
                  <w:pPr>
                    <w:adjustRightInd w:val="0"/>
                    <w:snapToGrid w:val="0"/>
                    <w:jc w:val="center"/>
                    <w:rPr>
                      <w:color w:val="auto"/>
                      <w:szCs w:val="21"/>
                    </w:rPr>
                  </w:pPr>
                  <w:r>
                    <w:rPr>
                      <w:rFonts w:hint="eastAsia"/>
                      <w:color w:val="auto"/>
                      <w:szCs w:val="21"/>
                    </w:rPr>
                    <w:t>村庄</w:t>
                  </w:r>
                </w:p>
              </w:tc>
              <w:tc>
                <w:tcPr>
                  <w:tcW w:w="1073" w:type="pct"/>
                  <w:vAlign w:val="center"/>
                </w:tcPr>
                <w:p>
                  <w:pPr>
                    <w:adjustRightInd w:val="0"/>
                    <w:snapToGrid w:val="0"/>
                    <w:jc w:val="center"/>
                    <w:rPr>
                      <w:color w:val="auto"/>
                      <w:szCs w:val="21"/>
                    </w:rPr>
                  </w:pPr>
                  <w:r>
                    <w:rPr>
                      <w:rFonts w:hint="eastAsia"/>
                      <w:color w:val="auto"/>
                      <w:szCs w:val="21"/>
                    </w:rPr>
                    <w:t>约</w:t>
                  </w:r>
                  <w:r>
                    <w:rPr>
                      <w:color w:val="auto"/>
                      <w:szCs w:val="21"/>
                    </w:rPr>
                    <w:t>10</w:t>
                  </w:r>
                  <w:r>
                    <w:rPr>
                      <w:rFonts w:hint="eastAsia"/>
                      <w:color w:val="auto"/>
                      <w:szCs w:val="21"/>
                    </w:rPr>
                    <w:t>户，</w:t>
                  </w:r>
                  <w:r>
                    <w:rPr>
                      <w:color w:val="auto"/>
                      <w:szCs w:val="21"/>
                    </w:rPr>
                    <w:t>33</w:t>
                  </w:r>
                  <w:r>
                    <w:rPr>
                      <w:rFonts w:hint="eastAsia"/>
                      <w:color w:val="auto"/>
                      <w:szCs w:val="21"/>
                    </w:rPr>
                    <w:t>人</w:t>
                  </w:r>
                </w:p>
              </w:tc>
              <w:tc>
                <w:tcPr>
                  <w:tcW w:w="1179"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8" w:hRule="atLeast"/>
                <w:jc w:val="center"/>
              </w:trPr>
              <w:tc>
                <w:tcPr>
                  <w:tcW w:w="1079" w:type="pct"/>
                  <w:vAlign w:val="center"/>
                </w:tcPr>
                <w:p>
                  <w:pPr>
                    <w:adjustRightInd w:val="0"/>
                    <w:snapToGrid w:val="0"/>
                    <w:jc w:val="center"/>
                    <w:rPr>
                      <w:color w:val="auto"/>
                      <w:szCs w:val="21"/>
                    </w:rPr>
                  </w:pPr>
                  <w:r>
                    <w:rPr>
                      <w:rFonts w:hint="eastAsia"/>
                      <w:color w:val="auto"/>
                      <w:szCs w:val="21"/>
                    </w:rPr>
                    <w:t>王洼村</w:t>
                  </w:r>
                </w:p>
              </w:tc>
              <w:tc>
                <w:tcPr>
                  <w:tcW w:w="416" w:type="pct"/>
                  <w:vAlign w:val="center"/>
                </w:tcPr>
                <w:p>
                  <w:pPr>
                    <w:adjustRightInd w:val="0"/>
                    <w:snapToGrid w:val="0"/>
                    <w:jc w:val="center"/>
                    <w:rPr>
                      <w:color w:val="auto"/>
                      <w:szCs w:val="21"/>
                    </w:rPr>
                  </w:pPr>
                  <w:r>
                    <w:rPr>
                      <w:color w:val="auto"/>
                      <w:szCs w:val="21"/>
                    </w:rPr>
                    <w:t>NE</w:t>
                  </w:r>
                </w:p>
              </w:tc>
              <w:tc>
                <w:tcPr>
                  <w:tcW w:w="562" w:type="pct"/>
                  <w:vAlign w:val="center"/>
                </w:tcPr>
                <w:p>
                  <w:pPr>
                    <w:adjustRightInd w:val="0"/>
                    <w:snapToGrid w:val="0"/>
                    <w:jc w:val="center"/>
                    <w:rPr>
                      <w:color w:val="auto"/>
                      <w:szCs w:val="21"/>
                    </w:rPr>
                  </w:pPr>
                  <w:r>
                    <w:rPr>
                      <w:color w:val="auto"/>
                      <w:szCs w:val="21"/>
                    </w:rPr>
                    <w:t>1447m</w:t>
                  </w:r>
                </w:p>
              </w:tc>
              <w:tc>
                <w:tcPr>
                  <w:tcW w:w="691" w:type="pct"/>
                  <w:vAlign w:val="center"/>
                </w:tcPr>
                <w:p>
                  <w:pPr>
                    <w:adjustRightInd w:val="0"/>
                    <w:snapToGrid w:val="0"/>
                    <w:jc w:val="center"/>
                    <w:rPr>
                      <w:color w:val="auto"/>
                      <w:szCs w:val="21"/>
                    </w:rPr>
                  </w:pPr>
                  <w:r>
                    <w:rPr>
                      <w:rFonts w:hint="eastAsia"/>
                      <w:color w:val="auto"/>
                      <w:szCs w:val="21"/>
                    </w:rPr>
                    <w:t>村庄</w:t>
                  </w:r>
                </w:p>
              </w:tc>
              <w:tc>
                <w:tcPr>
                  <w:tcW w:w="1073" w:type="pct"/>
                  <w:vAlign w:val="center"/>
                </w:tcPr>
                <w:p>
                  <w:pPr>
                    <w:adjustRightInd w:val="0"/>
                    <w:snapToGrid w:val="0"/>
                    <w:jc w:val="center"/>
                    <w:rPr>
                      <w:color w:val="auto"/>
                      <w:szCs w:val="21"/>
                    </w:rPr>
                  </w:pPr>
                  <w:r>
                    <w:rPr>
                      <w:rFonts w:hint="eastAsia"/>
                      <w:color w:val="auto"/>
                      <w:szCs w:val="21"/>
                    </w:rPr>
                    <w:t>约</w:t>
                  </w:r>
                  <w:r>
                    <w:rPr>
                      <w:color w:val="auto"/>
                      <w:szCs w:val="21"/>
                    </w:rPr>
                    <w:t>20</w:t>
                  </w:r>
                  <w:r>
                    <w:rPr>
                      <w:rFonts w:hint="eastAsia"/>
                      <w:color w:val="auto"/>
                      <w:szCs w:val="21"/>
                    </w:rPr>
                    <w:t>户，</w:t>
                  </w:r>
                  <w:r>
                    <w:rPr>
                      <w:color w:val="auto"/>
                      <w:szCs w:val="21"/>
                    </w:rPr>
                    <w:t>48</w:t>
                  </w:r>
                  <w:r>
                    <w:rPr>
                      <w:rFonts w:hint="eastAsia"/>
                      <w:color w:val="auto"/>
                      <w:szCs w:val="21"/>
                    </w:rPr>
                    <w:t>人</w:t>
                  </w:r>
                </w:p>
              </w:tc>
              <w:tc>
                <w:tcPr>
                  <w:tcW w:w="1179"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1079" w:type="pct"/>
                  <w:vAlign w:val="center"/>
                </w:tcPr>
                <w:p>
                  <w:pPr>
                    <w:adjustRightInd w:val="0"/>
                    <w:snapToGrid w:val="0"/>
                    <w:jc w:val="center"/>
                    <w:rPr>
                      <w:color w:val="auto"/>
                      <w:szCs w:val="21"/>
                    </w:rPr>
                  </w:pPr>
                  <w:r>
                    <w:rPr>
                      <w:rFonts w:hint="eastAsia"/>
                      <w:color w:val="auto"/>
                      <w:szCs w:val="21"/>
                    </w:rPr>
                    <w:t>吴家湾</w:t>
                  </w:r>
                </w:p>
              </w:tc>
              <w:tc>
                <w:tcPr>
                  <w:tcW w:w="416" w:type="pct"/>
                  <w:vAlign w:val="center"/>
                </w:tcPr>
                <w:p>
                  <w:pPr>
                    <w:adjustRightInd w:val="0"/>
                    <w:snapToGrid w:val="0"/>
                    <w:jc w:val="center"/>
                    <w:rPr>
                      <w:color w:val="auto"/>
                      <w:szCs w:val="21"/>
                    </w:rPr>
                  </w:pPr>
                  <w:r>
                    <w:rPr>
                      <w:color w:val="auto"/>
                      <w:szCs w:val="21"/>
                    </w:rPr>
                    <w:t>NW</w:t>
                  </w:r>
                </w:p>
              </w:tc>
              <w:tc>
                <w:tcPr>
                  <w:tcW w:w="562" w:type="pct"/>
                  <w:vAlign w:val="center"/>
                </w:tcPr>
                <w:p>
                  <w:pPr>
                    <w:adjustRightInd w:val="0"/>
                    <w:snapToGrid w:val="0"/>
                    <w:jc w:val="center"/>
                    <w:rPr>
                      <w:color w:val="auto"/>
                      <w:szCs w:val="21"/>
                    </w:rPr>
                  </w:pPr>
                  <w:r>
                    <w:rPr>
                      <w:color w:val="auto"/>
                      <w:szCs w:val="21"/>
                    </w:rPr>
                    <w:t>430m</w:t>
                  </w:r>
                </w:p>
              </w:tc>
              <w:tc>
                <w:tcPr>
                  <w:tcW w:w="691" w:type="pct"/>
                  <w:vAlign w:val="center"/>
                </w:tcPr>
                <w:p>
                  <w:pPr>
                    <w:adjustRightInd w:val="0"/>
                    <w:snapToGrid w:val="0"/>
                    <w:jc w:val="center"/>
                    <w:rPr>
                      <w:color w:val="auto"/>
                      <w:szCs w:val="21"/>
                    </w:rPr>
                  </w:pPr>
                  <w:r>
                    <w:rPr>
                      <w:rFonts w:hint="eastAsia"/>
                      <w:color w:val="auto"/>
                      <w:szCs w:val="21"/>
                    </w:rPr>
                    <w:t>村庄</w:t>
                  </w:r>
                </w:p>
              </w:tc>
              <w:tc>
                <w:tcPr>
                  <w:tcW w:w="1073" w:type="pct"/>
                  <w:vAlign w:val="center"/>
                </w:tcPr>
                <w:p>
                  <w:pPr>
                    <w:adjustRightInd w:val="0"/>
                    <w:snapToGrid w:val="0"/>
                    <w:jc w:val="center"/>
                    <w:rPr>
                      <w:color w:val="auto"/>
                      <w:szCs w:val="21"/>
                    </w:rPr>
                  </w:pPr>
                  <w:r>
                    <w:rPr>
                      <w:rFonts w:hint="eastAsia"/>
                      <w:color w:val="auto"/>
                      <w:szCs w:val="21"/>
                    </w:rPr>
                    <w:t>约40户，130人</w:t>
                  </w:r>
                </w:p>
              </w:tc>
              <w:tc>
                <w:tcPr>
                  <w:tcW w:w="1179"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1079" w:type="pct"/>
                  <w:vAlign w:val="center"/>
                </w:tcPr>
                <w:p>
                  <w:pPr>
                    <w:adjustRightInd w:val="0"/>
                    <w:snapToGrid w:val="0"/>
                    <w:jc w:val="center"/>
                    <w:rPr>
                      <w:color w:val="auto"/>
                      <w:szCs w:val="21"/>
                    </w:rPr>
                  </w:pPr>
                  <w:r>
                    <w:rPr>
                      <w:rFonts w:hint="eastAsia"/>
                      <w:color w:val="auto"/>
                      <w:szCs w:val="21"/>
                    </w:rPr>
                    <w:t>景家渠</w:t>
                  </w:r>
                </w:p>
              </w:tc>
              <w:tc>
                <w:tcPr>
                  <w:tcW w:w="416" w:type="pct"/>
                  <w:vAlign w:val="center"/>
                </w:tcPr>
                <w:p>
                  <w:pPr>
                    <w:adjustRightInd w:val="0"/>
                    <w:snapToGrid w:val="0"/>
                    <w:jc w:val="center"/>
                    <w:rPr>
                      <w:color w:val="auto"/>
                      <w:szCs w:val="21"/>
                    </w:rPr>
                  </w:pPr>
                  <w:r>
                    <w:rPr>
                      <w:rFonts w:hint="eastAsia"/>
                      <w:color w:val="auto"/>
                      <w:szCs w:val="21"/>
                    </w:rPr>
                    <w:t>SE</w:t>
                  </w:r>
                </w:p>
              </w:tc>
              <w:tc>
                <w:tcPr>
                  <w:tcW w:w="562" w:type="pct"/>
                  <w:vAlign w:val="center"/>
                </w:tcPr>
                <w:p>
                  <w:pPr>
                    <w:adjustRightInd w:val="0"/>
                    <w:snapToGrid w:val="0"/>
                    <w:jc w:val="center"/>
                    <w:rPr>
                      <w:color w:val="auto"/>
                      <w:szCs w:val="21"/>
                    </w:rPr>
                  </w:pPr>
                  <w:r>
                    <w:rPr>
                      <w:color w:val="auto"/>
                      <w:szCs w:val="21"/>
                    </w:rPr>
                    <w:t>480m</w:t>
                  </w:r>
                </w:p>
              </w:tc>
              <w:tc>
                <w:tcPr>
                  <w:tcW w:w="691" w:type="pct"/>
                  <w:vAlign w:val="center"/>
                </w:tcPr>
                <w:p>
                  <w:pPr>
                    <w:adjustRightInd w:val="0"/>
                    <w:snapToGrid w:val="0"/>
                    <w:jc w:val="center"/>
                    <w:rPr>
                      <w:color w:val="auto"/>
                      <w:szCs w:val="21"/>
                    </w:rPr>
                  </w:pPr>
                  <w:r>
                    <w:rPr>
                      <w:rFonts w:hint="eastAsia"/>
                      <w:color w:val="auto"/>
                      <w:szCs w:val="21"/>
                    </w:rPr>
                    <w:t>村庄</w:t>
                  </w:r>
                </w:p>
              </w:tc>
              <w:tc>
                <w:tcPr>
                  <w:tcW w:w="1073" w:type="pct"/>
                  <w:vAlign w:val="center"/>
                </w:tcPr>
                <w:p>
                  <w:pPr>
                    <w:adjustRightInd w:val="0"/>
                    <w:snapToGrid w:val="0"/>
                    <w:jc w:val="center"/>
                    <w:rPr>
                      <w:color w:val="auto"/>
                      <w:szCs w:val="21"/>
                    </w:rPr>
                  </w:pPr>
                  <w:r>
                    <w:rPr>
                      <w:rFonts w:hint="eastAsia"/>
                      <w:color w:val="auto"/>
                      <w:szCs w:val="21"/>
                    </w:rPr>
                    <w:t>约</w:t>
                  </w:r>
                  <w:r>
                    <w:rPr>
                      <w:color w:val="auto"/>
                      <w:szCs w:val="21"/>
                    </w:rPr>
                    <w:t>8</w:t>
                  </w:r>
                  <w:r>
                    <w:rPr>
                      <w:rFonts w:hint="eastAsia"/>
                      <w:color w:val="auto"/>
                      <w:szCs w:val="21"/>
                    </w:rPr>
                    <w:t>户，</w:t>
                  </w:r>
                  <w:r>
                    <w:rPr>
                      <w:color w:val="auto"/>
                      <w:szCs w:val="21"/>
                    </w:rPr>
                    <w:t>33</w:t>
                  </w:r>
                  <w:r>
                    <w:rPr>
                      <w:rFonts w:hint="eastAsia"/>
                      <w:color w:val="auto"/>
                      <w:szCs w:val="21"/>
                    </w:rPr>
                    <w:t>人</w:t>
                  </w:r>
                </w:p>
              </w:tc>
              <w:tc>
                <w:tcPr>
                  <w:tcW w:w="1179"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5000" w:type="pct"/>
                  <w:gridSpan w:val="6"/>
                  <w:vAlign w:val="center"/>
                </w:tcPr>
                <w:p>
                  <w:pPr>
                    <w:adjustRightInd w:val="0"/>
                    <w:snapToGrid w:val="0"/>
                    <w:jc w:val="center"/>
                    <w:rPr>
                      <w:color w:val="auto"/>
                      <w:szCs w:val="21"/>
                    </w:rPr>
                  </w:pPr>
                  <w:r>
                    <w:rPr>
                      <w:rFonts w:hint="eastAsia"/>
                      <w:b/>
                      <w:color w:val="auto"/>
                      <w:szCs w:val="21"/>
                    </w:rPr>
                    <w:t>二</w:t>
                  </w:r>
                  <w:r>
                    <w:rPr>
                      <w:b/>
                      <w:color w:val="auto"/>
                      <w:szCs w:val="21"/>
                    </w:rPr>
                    <w:t>、地表水环境保护目标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1079" w:type="pct"/>
                  <w:vAlign w:val="center"/>
                </w:tcPr>
                <w:p>
                  <w:pPr>
                    <w:adjustRightInd w:val="0"/>
                    <w:snapToGrid w:val="0"/>
                    <w:jc w:val="center"/>
                    <w:rPr>
                      <w:rFonts w:hint="eastAsia"/>
                      <w:color w:val="auto"/>
                      <w:szCs w:val="21"/>
                    </w:rPr>
                  </w:pPr>
                  <w:r>
                    <w:rPr>
                      <w:color w:val="auto"/>
                      <w:szCs w:val="21"/>
                    </w:rPr>
                    <w:t>王洼沟</w:t>
                  </w:r>
                </w:p>
              </w:tc>
              <w:tc>
                <w:tcPr>
                  <w:tcW w:w="416" w:type="pct"/>
                  <w:vAlign w:val="center"/>
                </w:tcPr>
                <w:p>
                  <w:pPr>
                    <w:adjustRightInd w:val="0"/>
                    <w:snapToGrid w:val="0"/>
                    <w:jc w:val="center"/>
                    <w:rPr>
                      <w:rFonts w:hint="eastAsia"/>
                      <w:color w:val="auto"/>
                      <w:szCs w:val="21"/>
                    </w:rPr>
                  </w:pPr>
                  <w:r>
                    <w:rPr>
                      <w:color w:val="auto"/>
                      <w:szCs w:val="21"/>
                    </w:rPr>
                    <w:t>项目区域</w:t>
                  </w:r>
                </w:p>
              </w:tc>
              <w:tc>
                <w:tcPr>
                  <w:tcW w:w="1253" w:type="pct"/>
                  <w:gridSpan w:val="2"/>
                  <w:vAlign w:val="center"/>
                </w:tcPr>
                <w:p>
                  <w:pPr>
                    <w:adjustRightInd w:val="0"/>
                    <w:snapToGrid w:val="0"/>
                    <w:jc w:val="center"/>
                    <w:rPr>
                      <w:rFonts w:hint="eastAsia"/>
                      <w:color w:val="auto"/>
                      <w:szCs w:val="21"/>
                    </w:rPr>
                  </w:pPr>
                  <w:r>
                    <w:rPr>
                      <w:color w:val="auto"/>
                      <w:szCs w:val="21"/>
                    </w:rPr>
                    <w:t>自然沟道</w:t>
                  </w:r>
                </w:p>
              </w:tc>
              <w:tc>
                <w:tcPr>
                  <w:tcW w:w="1073" w:type="pct"/>
                  <w:vAlign w:val="center"/>
                </w:tcPr>
                <w:p>
                  <w:pPr>
                    <w:adjustRightInd w:val="0"/>
                    <w:snapToGrid w:val="0"/>
                    <w:jc w:val="center"/>
                    <w:rPr>
                      <w:rFonts w:hint="eastAsia"/>
                      <w:color w:val="auto"/>
                      <w:szCs w:val="21"/>
                    </w:rPr>
                  </w:pPr>
                  <w:r>
                    <w:rPr>
                      <w:color w:val="auto"/>
                      <w:szCs w:val="21"/>
                    </w:rPr>
                    <w:t>现有水流以矿井排水为主</w:t>
                  </w:r>
                </w:p>
              </w:tc>
              <w:tc>
                <w:tcPr>
                  <w:tcW w:w="1179" w:type="pct"/>
                  <w:vMerge w:val="restart"/>
                  <w:vAlign w:val="center"/>
                </w:tcPr>
                <w:p>
                  <w:pPr>
                    <w:adjustRightInd w:val="0"/>
                    <w:snapToGrid w:val="0"/>
                    <w:jc w:val="center"/>
                    <w:rPr>
                      <w:color w:val="auto"/>
                      <w:szCs w:val="21"/>
                    </w:rPr>
                  </w:pPr>
                  <w:r>
                    <w:rPr>
                      <w:color w:val="auto"/>
                      <w:szCs w:val="21"/>
                    </w:rPr>
                    <w:t>《地表水环境质量标准》（GB3838-2002）Ⅲ类标准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1079" w:type="pct"/>
                  <w:vAlign w:val="center"/>
                </w:tcPr>
                <w:p>
                  <w:pPr>
                    <w:adjustRightInd w:val="0"/>
                    <w:snapToGrid w:val="0"/>
                    <w:jc w:val="center"/>
                    <w:rPr>
                      <w:rFonts w:hint="eastAsia"/>
                      <w:color w:val="auto"/>
                      <w:szCs w:val="21"/>
                    </w:rPr>
                  </w:pPr>
                  <w:r>
                    <w:rPr>
                      <w:color w:val="auto"/>
                      <w:szCs w:val="21"/>
                    </w:rPr>
                    <w:t>庙台水库</w:t>
                  </w:r>
                </w:p>
              </w:tc>
              <w:tc>
                <w:tcPr>
                  <w:tcW w:w="416" w:type="pct"/>
                  <w:vAlign w:val="center"/>
                </w:tcPr>
                <w:p>
                  <w:pPr>
                    <w:adjustRightInd w:val="0"/>
                    <w:snapToGrid w:val="0"/>
                    <w:jc w:val="center"/>
                    <w:rPr>
                      <w:rFonts w:hint="eastAsia"/>
                      <w:color w:val="auto"/>
                      <w:szCs w:val="21"/>
                    </w:rPr>
                  </w:pPr>
                  <w:r>
                    <w:rPr>
                      <w:color w:val="auto"/>
                      <w:szCs w:val="21"/>
                    </w:rPr>
                    <w:t>W</w:t>
                  </w:r>
                </w:p>
              </w:tc>
              <w:tc>
                <w:tcPr>
                  <w:tcW w:w="562" w:type="pct"/>
                  <w:vAlign w:val="center"/>
                </w:tcPr>
                <w:p>
                  <w:pPr>
                    <w:adjustRightInd w:val="0"/>
                    <w:snapToGrid w:val="0"/>
                    <w:jc w:val="center"/>
                    <w:rPr>
                      <w:rFonts w:hint="eastAsia"/>
                      <w:color w:val="auto"/>
                      <w:szCs w:val="21"/>
                    </w:rPr>
                  </w:pPr>
                  <w:r>
                    <w:rPr>
                      <w:color w:val="auto"/>
                      <w:szCs w:val="21"/>
                    </w:rPr>
                    <w:t>4370m</w:t>
                  </w:r>
                </w:p>
              </w:tc>
              <w:tc>
                <w:tcPr>
                  <w:tcW w:w="691" w:type="pct"/>
                  <w:vAlign w:val="center"/>
                </w:tcPr>
                <w:p>
                  <w:pPr>
                    <w:adjustRightInd w:val="0"/>
                    <w:snapToGrid w:val="0"/>
                    <w:jc w:val="center"/>
                    <w:rPr>
                      <w:rFonts w:hint="eastAsia"/>
                      <w:color w:val="auto"/>
                      <w:szCs w:val="21"/>
                    </w:rPr>
                  </w:pPr>
                  <w:r>
                    <w:rPr>
                      <w:color w:val="auto"/>
                      <w:szCs w:val="21"/>
                    </w:rPr>
                    <w:t>灌溉</w:t>
                  </w:r>
                </w:p>
              </w:tc>
              <w:tc>
                <w:tcPr>
                  <w:tcW w:w="1073" w:type="pct"/>
                  <w:vAlign w:val="center"/>
                </w:tcPr>
                <w:p>
                  <w:pPr>
                    <w:adjustRightInd w:val="0"/>
                    <w:snapToGrid w:val="0"/>
                    <w:jc w:val="center"/>
                    <w:rPr>
                      <w:rFonts w:hint="eastAsia"/>
                      <w:color w:val="auto"/>
                      <w:szCs w:val="21"/>
                    </w:rPr>
                  </w:pPr>
                  <w:r>
                    <w:rPr>
                      <w:color w:val="auto"/>
                      <w:szCs w:val="21"/>
                    </w:rPr>
                    <w:t>有效库容1575.50万m</w:t>
                  </w:r>
                  <w:r>
                    <w:rPr>
                      <w:color w:val="auto"/>
                      <w:szCs w:val="21"/>
                      <w:vertAlign w:val="superscript"/>
                    </w:rPr>
                    <w:t>3</w:t>
                  </w:r>
                </w:p>
              </w:tc>
              <w:tc>
                <w:tcPr>
                  <w:tcW w:w="1179"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9" w:hRule="atLeast"/>
                <w:jc w:val="center"/>
              </w:trPr>
              <w:tc>
                <w:tcPr>
                  <w:tcW w:w="5000" w:type="pct"/>
                  <w:gridSpan w:val="6"/>
                  <w:vAlign w:val="center"/>
                </w:tcPr>
                <w:p>
                  <w:pPr>
                    <w:adjustRightInd w:val="0"/>
                    <w:snapToGrid w:val="0"/>
                    <w:jc w:val="center"/>
                    <w:rPr>
                      <w:b/>
                      <w:color w:val="auto"/>
                      <w:szCs w:val="21"/>
                    </w:rPr>
                  </w:pPr>
                  <w:r>
                    <w:rPr>
                      <w:b/>
                      <w:color w:val="auto"/>
                      <w:szCs w:val="21"/>
                    </w:rPr>
                    <w:t>四、生态环境保护目标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7" w:hRule="atLeast"/>
                <w:jc w:val="center"/>
              </w:trPr>
              <w:tc>
                <w:tcPr>
                  <w:tcW w:w="1079" w:type="pct"/>
                  <w:vAlign w:val="center"/>
                </w:tcPr>
                <w:p>
                  <w:pPr>
                    <w:adjustRightInd w:val="0"/>
                    <w:snapToGrid w:val="0"/>
                    <w:jc w:val="center"/>
                    <w:rPr>
                      <w:color w:val="auto"/>
                      <w:szCs w:val="21"/>
                    </w:rPr>
                  </w:pPr>
                  <w:r>
                    <w:rPr>
                      <w:color w:val="auto"/>
                      <w:szCs w:val="21"/>
                    </w:rPr>
                    <w:t>动物</w:t>
                  </w:r>
                </w:p>
              </w:tc>
              <w:tc>
                <w:tcPr>
                  <w:tcW w:w="978" w:type="pct"/>
                  <w:gridSpan w:val="2"/>
                  <w:vAlign w:val="center"/>
                </w:tcPr>
                <w:p>
                  <w:pPr>
                    <w:adjustRightInd w:val="0"/>
                    <w:snapToGrid w:val="0"/>
                    <w:jc w:val="center"/>
                    <w:rPr>
                      <w:color w:val="auto"/>
                      <w:szCs w:val="21"/>
                    </w:rPr>
                  </w:pPr>
                  <w:r>
                    <w:rPr>
                      <w:color w:val="auto"/>
                      <w:szCs w:val="21"/>
                    </w:rPr>
                    <w:t>项目扰动范围内</w:t>
                  </w:r>
                </w:p>
              </w:tc>
              <w:tc>
                <w:tcPr>
                  <w:tcW w:w="691" w:type="pct"/>
                  <w:vAlign w:val="center"/>
                </w:tcPr>
                <w:p>
                  <w:pPr>
                    <w:adjustRightInd w:val="0"/>
                    <w:snapToGrid w:val="0"/>
                    <w:jc w:val="center"/>
                    <w:rPr>
                      <w:color w:val="auto"/>
                      <w:szCs w:val="21"/>
                    </w:rPr>
                  </w:pPr>
                  <w:r>
                    <w:rPr>
                      <w:color w:val="auto"/>
                      <w:szCs w:val="21"/>
                    </w:rPr>
                    <w:t>/</w:t>
                  </w:r>
                </w:p>
              </w:tc>
              <w:tc>
                <w:tcPr>
                  <w:tcW w:w="1073" w:type="pct"/>
                  <w:vAlign w:val="center"/>
                </w:tcPr>
                <w:p>
                  <w:pPr>
                    <w:adjustRightInd w:val="0"/>
                    <w:snapToGrid w:val="0"/>
                    <w:jc w:val="center"/>
                    <w:rPr>
                      <w:color w:val="auto"/>
                      <w:szCs w:val="21"/>
                    </w:rPr>
                  </w:pPr>
                  <w:r>
                    <w:rPr>
                      <w:color w:val="auto"/>
                      <w:szCs w:val="21"/>
                    </w:rPr>
                    <w:t>/</w:t>
                  </w:r>
                </w:p>
              </w:tc>
              <w:tc>
                <w:tcPr>
                  <w:tcW w:w="1179" w:type="pct"/>
                  <w:vAlign w:val="center"/>
                </w:tcPr>
                <w:p>
                  <w:pPr>
                    <w:adjustRightInd w:val="0"/>
                    <w:snapToGrid w:val="0"/>
                    <w:jc w:val="center"/>
                    <w:rPr>
                      <w:color w:val="auto"/>
                      <w:szCs w:val="21"/>
                    </w:rPr>
                  </w:pPr>
                  <w:r>
                    <w:rPr>
                      <w:color w:val="auto"/>
                      <w:szCs w:val="21"/>
                    </w:rPr>
                    <w:t>减小对动物的扰动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0" w:hRule="atLeast"/>
                <w:jc w:val="center"/>
              </w:trPr>
              <w:tc>
                <w:tcPr>
                  <w:tcW w:w="1079" w:type="pct"/>
                  <w:vAlign w:val="center"/>
                </w:tcPr>
                <w:p>
                  <w:pPr>
                    <w:adjustRightInd w:val="0"/>
                    <w:snapToGrid w:val="0"/>
                    <w:jc w:val="center"/>
                    <w:rPr>
                      <w:color w:val="auto"/>
                      <w:szCs w:val="21"/>
                    </w:rPr>
                  </w:pPr>
                  <w:r>
                    <w:rPr>
                      <w:color w:val="auto"/>
                      <w:szCs w:val="21"/>
                    </w:rPr>
                    <w:t>植物</w:t>
                  </w:r>
                </w:p>
              </w:tc>
              <w:tc>
                <w:tcPr>
                  <w:tcW w:w="978" w:type="pct"/>
                  <w:gridSpan w:val="2"/>
                  <w:vAlign w:val="center"/>
                </w:tcPr>
                <w:p>
                  <w:pPr>
                    <w:adjustRightInd w:val="0"/>
                    <w:snapToGrid w:val="0"/>
                    <w:jc w:val="center"/>
                    <w:rPr>
                      <w:color w:val="auto"/>
                      <w:szCs w:val="21"/>
                    </w:rPr>
                  </w:pPr>
                  <w:r>
                    <w:rPr>
                      <w:color w:val="auto"/>
                      <w:szCs w:val="21"/>
                    </w:rPr>
                    <w:t>项目扰动范围内</w:t>
                  </w:r>
                </w:p>
              </w:tc>
              <w:tc>
                <w:tcPr>
                  <w:tcW w:w="691" w:type="pct"/>
                  <w:vAlign w:val="center"/>
                </w:tcPr>
                <w:p>
                  <w:pPr>
                    <w:adjustRightInd w:val="0"/>
                    <w:snapToGrid w:val="0"/>
                    <w:jc w:val="center"/>
                    <w:rPr>
                      <w:color w:val="auto"/>
                      <w:szCs w:val="21"/>
                    </w:rPr>
                  </w:pPr>
                  <w:r>
                    <w:rPr>
                      <w:color w:val="auto"/>
                      <w:szCs w:val="21"/>
                    </w:rPr>
                    <w:t>/</w:t>
                  </w:r>
                </w:p>
              </w:tc>
              <w:tc>
                <w:tcPr>
                  <w:tcW w:w="1073" w:type="pct"/>
                  <w:vAlign w:val="center"/>
                </w:tcPr>
                <w:p>
                  <w:pPr>
                    <w:adjustRightInd w:val="0"/>
                    <w:snapToGrid w:val="0"/>
                    <w:jc w:val="center"/>
                    <w:rPr>
                      <w:color w:val="auto"/>
                      <w:szCs w:val="21"/>
                    </w:rPr>
                  </w:pPr>
                  <w:r>
                    <w:rPr>
                      <w:color w:val="auto"/>
                      <w:szCs w:val="21"/>
                    </w:rPr>
                    <w:t>/</w:t>
                  </w:r>
                </w:p>
              </w:tc>
              <w:tc>
                <w:tcPr>
                  <w:tcW w:w="1179" w:type="pct"/>
                  <w:vAlign w:val="center"/>
                </w:tcPr>
                <w:p>
                  <w:pPr>
                    <w:adjustRightInd w:val="0"/>
                    <w:snapToGrid w:val="0"/>
                    <w:jc w:val="center"/>
                    <w:rPr>
                      <w:color w:val="auto"/>
                      <w:szCs w:val="21"/>
                    </w:rPr>
                  </w:pPr>
                  <w:r>
                    <w:rPr>
                      <w:color w:val="auto"/>
                      <w:szCs w:val="21"/>
                    </w:rPr>
                    <w:t>控制作业面、减小临时占地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2" w:hRule="atLeast"/>
                <w:jc w:val="center"/>
              </w:trPr>
              <w:tc>
                <w:tcPr>
                  <w:tcW w:w="1079" w:type="pct"/>
                  <w:vAlign w:val="center"/>
                </w:tcPr>
                <w:p>
                  <w:pPr>
                    <w:adjustRightInd w:val="0"/>
                    <w:snapToGrid w:val="0"/>
                    <w:jc w:val="center"/>
                    <w:rPr>
                      <w:color w:val="auto"/>
                      <w:szCs w:val="21"/>
                    </w:rPr>
                  </w:pPr>
                  <w:r>
                    <w:rPr>
                      <w:color w:val="auto"/>
                      <w:szCs w:val="21"/>
                    </w:rPr>
                    <w:t>区域生态环境</w:t>
                  </w:r>
                </w:p>
              </w:tc>
              <w:tc>
                <w:tcPr>
                  <w:tcW w:w="978" w:type="pct"/>
                  <w:gridSpan w:val="2"/>
                  <w:vAlign w:val="center"/>
                </w:tcPr>
                <w:p>
                  <w:pPr>
                    <w:adjustRightInd w:val="0"/>
                    <w:snapToGrid w:val="0"/>
                    <w:jc w:val="center"/>
                    <w:rPr>
                      <w:color w:val="auto"/>
                      <w:szCs w:val="21"/>
                    </w:rPr>
                  </w:pPr>
                  <w:r>
                    <w:rPr>
                      <w:color w:val="auto"/>
                      <w:szCs w:val="21"/>
                    </w:rPr>
                    <w:t>项目扰动范围内</w:t>
                  </w:r>
                </w:p>
              </w:tc>
              <w:tc>
                <w:tcPr>
                  <w:tcW w:w="691" w:type="pct"/>
                  <w:vAlign w:val="center"/>
                </w:tcPr>
                <w:p>
                  <w:pPr>
                    <w:adjustRightInd w:val="0"/>
                    <w:snapToGrid w:val="0"/>
                    <w:jc w:val="center"/>
                    <w:rPr>
                      <w:color w:val="auto"/>
                      <w:szCs w:val="21"/>
                    </w:rPr>
                  </w:pPr>
                  <w:r>
                    <w:rPr>
                      <w:color w:val="auto"/>
                      <w:szCs w:val="21"/>
                    </w:rPr>
                    <w:t>/</w:t>
                  </w:r>
                </w:p>
              </w:tc>
              <w:tc>
                <w:tcPr>
                  <w:tcW w:w="1073" w:type="pct"/>
                  <w:vAlign w:val="center"/>
                </w:tcPr>
                <w:p>
                  <w:pPr>
                    <w:adjustRightInd w:val="0"/>
                    <w:snapToGrid w:val="0"/>
                    <w:jc w:val="center"/>
                    <w:rPr>
                      <w:color w:val="auto"/>
                      <w:szCs w:val="21"/>
                    </w:rPr>
                  </w:pPr>
                  <w:r>
                    <w:rPr>
                      <w:color w:val="auto"/>
                      <w:szCs w:val="21"/>
                    </w:rPr>
                    <w:t>/</w:t>
                  </w:r>
                </w:p>
              </w:tc>
              <w:tc>
                <w:tcPr>
                  <w:tcW w:w="1179" w:type="pct"/>
                  <w:vAlign w:val="center"/>
                </w:tcPr>
                <w:p>
                  <w:pPr>
                    <w:adjustRightInd w:val="0"/>
                    <w:snapToGrid w:val="0"/>
                    <w:jc w:val="center"/>
                    <w:rPr>
                      <w:color w:val="auto"/>
                      <w:szCs w:val="21"/>
                    </w:rPr>
                  </w:pPr>
                  <w:r>
                    <w:rPr>
                      <w:color w:val="auto"/>
                      <w:szCs w:val="21"/>
                    </w:rPr>
                    <w:t>减小对地表的扰动</w:t>
                  </w:r>
                </w:p>
              </w:tc>
            </w:tr>
          </w:tbl>
          <w:p>
            <w:pPr>
              <w:adjustRightInd w:val="0"/>
              <w:snapToGrid w:val="0"/>
              <w:rPr>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vAlign w:val="center"/>
          </w:tcPr>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r>
              <w:rPr>
                <w:rFonts w:hint="eastAsia"/>
                <w:b/>
                <w:color w:val="auto"/>
                <w:sz w:val="24"/>
              </w:rPr>
              <w:t>3</w:t>
            </w:r>
            <w:r>
              <w:rPr>
                <w:b/>
                <w:color w:val="auto"/>
                <w:sz w:val="24"/>
              </w:rPr>
              <w:t>.4</w:t>
            </w:r>
          </w:p>
          <w:p>
            <w:pPr>
              <w:adjustRightInd w:val="0"/>
              <w:snapToGrid w:val="0"/>
              <w:jc w:val="center"/>
              <w:rPr>
                <w:b/>
                <w:color w:val="auto"/>
                <w:sz w:val="24"/>
              </w:rPr>
            </w:pPr>
            <w:r>
              <w:rPr>
                <w:b/>
                <w:color w:val="auto"/>
                <w:sz w:val="24"/>
              </w:rPr>
              <w:t>评价</w:t>
            </w:r>
          </w:p>
          <w:p>
            <w:pPr>
              <w:adjustRightInd w:val="0"/>
              <w:snapToGrid w:val="0"/>
              <w:jc w:val="center"/>
              <w:rPr>
                <w:b/>
                <w:color w:val="auto"/>
                <w:sz w:val="24"/>
              </w:rPr>
            </w:pPr>
            <w:r>
              <w:rPr>
                <w:b/>
                <w:color w:val="auto"/>
                <w:sz w:val="24"/>
              </w:rPr>
              <w:t>标准</w:t>
            </w: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adjustRightInd w:val="0"/>
              <w:snapToGrid w:val="0"/>
              <w:jc w:val="center"/>
              <w:rPr>
                <w:b/>
                <w:color w:val="auto"/>
                <w:sz w:val="24"/>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rFonts w:hint="eastAsia"/>
                <w:color w:val="auto"/>
              </w:rPr>
            </w:pPr>
          </w:p>
          <w:p>
            <w:pPr>
              <w:adjustRightInd w:val="0"/>
              <w:snapToGrid w:val="0"/>
              <w:jc w:val="center"/>
              <w:rPr>
                <w:b/>
                <w:color w:val="auto"/>
                <w:sz w:val="24"/>
              </w:rPr>
            </w:pPr>
            <w:r>
              <w:rPr>
                <w:rFonts w:hint="eastAsia"/>
                <w:b/>
                <w:color w:val="auto"/>
                <w:sz w:val="24"/>
              </w:rPr>
              <w:t>3</w:t>
            </w:r>
            <w:r>
              <w:rPr>
                <w:b/>
                <w:color w:val="auto"/>
                <w:sz w:val="24"/>
              </w:rPr>
              <w:t>.3</w:t>
            </w:r>
          </w:p>
          <w:p>
            <w:pPr>
              <w:adjustRightInd w:val="0"/>
              <w:snapToGrid w:val="0"/>
              <w:jc w:val="center"/>
              <w:rPr>
                <w:b/>
                <w:color w:val="auto"/>
                <w:sz w:val="24"/>
              </w:rPr>
            </w:pPr>
            <w:r>
              <w:rPr>
                <w:b/>
                <w:color w:val="auto"/>
                <w:sz w:val="24"/>
              </w:rPr>
              <w:t>评价</w:t>
            </w:r>
          </w:p>
          <w:p>
            <w:pPr>
              <w:adjustRightInd w:val="0"/>
              <w:snapToGrid w:val="0"/>
              <w:jc w:val="center"/>
              <w:rPr>
                <w:b/>
                <w:color w:val="auto"/>
                <w:sz w:val="24"/>
              </w:rPr>
            </w:pPr>
            <w:r>
              <w:rPr>
                <w:b/>
                <w:color w:val="auto"/>
                <w:sz w:val="24"/>
              </w:rPr>
              <w:t>标准</w:t>
            </w:r>
          </w:p>
        </w:tc>
        <w:tc>
          <w:tcPr>
            <w:tcW w:w="8253" w:type="dxa"/>
            <w:vAlign w:val="center"/>
          </w:tcPr>
          <w:p>
            <w:pPr>
              <w:autoSpaceDE w:val="0"/>
              <w:autoSpaceDN w:val="0"/>
              <w:adjustRightInd w:val="0"/>
              <w:snapToGrid w:val="0"/>
              <w:spacing w:line="360" w:lineRule="auto"/>
              <w:rPr>
                <w:b/>
                <w:bCs/>
                <w:color w:val="auto"/>
                <w:kern w:val="0"/>
                <w:sz w:val="24"/>
              </w:rPr>
            </w:pPr>
            <w:r>
              <w:rPr>
                <w:rFonts w:hint="eastAsia"/>
                <w:b/>
                <w:bCs/>
                <w:color w:val="auto"/>
                <w:kern w:val="0"/>
                <w:sz w:val="24"/>
              </w:rPr>
              <w:t>1、</w:t>
            </w:r>
            <w:r>
              <w:rPr>
                <w:b/>
                <w:bCs/>
                <w:color w:val="auto"/>
                <w:kern w:val="0"/>
                <w:sz w:val="24"/>
              </w:rPr>
              <w:t>环境质量标准</w:t>
            </w:r>
          </w:p>
          <w:p>
            <w:pPr>
              <w:adjustRightInd w:val="0"/>
              <w:snapToGrid w:val="0"/>
              <w:spacing w:line="360" w:lineRule="auto"/>
              <w:ind w:firstLine="482" w:firstLineChars="200"/>
              <w:jc w:val="left"/>
              <w:rPr>
                <w:b/>
                <w:bCs/>
                <w:color w:val="auto"/>
                <w:sz w:val="24"/>
              </w:rPr>
            </w:pPr>
            <w:r>
              <w:rPr>
                <w:rFonts w:hint="eastAsia" w:ascii="宋体" w:hAnsi="宋体" w:cs="宋体"/>
                <w:b/>
                <w:bCs/>
                <w:color w:val="auto"/>
                <w:sz w:val="24"/>
              </w:rPr>
              <w:t>（1）</w:t>
            </w:r>
            <w:r>
              <w:rPr>
                <w:b/>
                <w:bCs/>
                <w:color w:val="auto"/>
                <w:sz w:val="24"/>
              </w:rPr>
              <w:t>环境空气</w:t>
            </w:r>
          </w:p>
          <w:p>
            <w:pPr>
              <w:adjustRightInd w:val="0"/>
              <w:snapToGrid w:val="0"/>
              <w:spacing w:line="360" w:lineRule="auto"/>
              <w:ind w:firstLine="480" w:firstLineChars="200"/>
              <w:jc w:val="left"/>
              <w:rPr>
                <w:color w:val="auto"/>
                <w:sz w:val="24"/>
              </w:rPr>
            </w:pPr>
            <w:r>
              <w:rPr>
                <w:color w:val="auto"/>
                <w:sz w:val="24"/>
              </w:rPr>
              <w:t>项目所在地环境空气质量执行《环境空气质量标准》（GB3095-2012）及2018修改单二级标准，具体见表3-</w:t>
            </w:r>
            <w:r>
              <w:rPr>
                <w:rFonts w:hint="eastAsia"/>
                <w:color w:val="auto"/>
                <w:sz w:val="24"/>
              </w:rPr>
              <w:t>4</w:t>
            </w:r>
            <w:r>
              <w:rPr>
                <w:color w:val="auto"/>
                <w:sz w:val="24"/>
              </w:rPr>
              <w:t>。</w:t>
            </w:r>
          </w:p>
          <w:p>
            <w:pPr>
              <w:autoSpaceDE w:val="0"/>
              <w:autoSpaceDN w:val="0"/>
              <w:snapToGrid w:val="0"/>
              <w:ind w:firstLine="482" w:firstLineChars="200"/>
              <w:rPr>
                <w:b/>
                <w:bCs/>
                <w:color w:val="auto"/>
                <w:sz w:val="24"/>
              </w:rPr>
            </w:pPr>
            <w:r>
              <w:rPr>
                <w:b/>
                <w:bCs/>
                <w:color w:val="auto"/>
                <w:sz w:val="24"/>
              </w:rPr>
              <w:t>表3-</w:t>
            </w:r>
            <w:r>
              <w:rPr>
                <w:rFonts w:hint="eastAsia"/>
                <w:b/>
                <w:bCs/>
                <w:color w:val="auto"/>
                <w:sz w:val="24"/>
              </w:rPr>
              <w:t>4</w:t>
            </w:r>
            <w:r>
              <w:rPr>
                <w:b/>
                <w:bCs/>
                <w:color w:val="auto"/>
                <w:sz w:val="24"/>
              </w:rPr>
              <w:t xml:space="preserve">    《环境空气质量标准》（GB3095-2012）中二级标准</w:t>
            </w:r>
          </w:p>
          <w:tbl>
            <w:tblPr>
              <w:tblStyle w:val="1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32"/>
              <w:gridCol w:w="829"/>
              <w:gridCol w:w="1394"/>
              <w:gridCol w:w="2117"/>
              <w:gridCol w:w="1199"/>
              <w:gridCol w:w="186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autoSpaceDE w:val="0"/>
                    <w:autoSpaceDN w:val="0"/>
                    <w:adjustRightInd w:val="0"/>
                    <w:snapToGrid w:val="0"/>
                    <w:jc w:val="center"/>
                    <w:rPr>
                      <w:b/>
                      <w:color w:val="auto"/>
                      <w:szCs w:val="21"/>
                    </w:rPr>
                  </w:pPr>
                  <w:r>
                    <w:rPr>
                      <w:b/>
                      <w:color w:val="auto"/>
                      <w:szCs w:val="21"/>
                    </w:rPr>
                    <w:t>序号</w:t>
                  </w:r>
                </w:p>
              </w:tc>
              <w:tc>
                <w:tcPr>
                  <w:tcW w:w="516" w:type="pct"/>
                  <w:tcBorders>
                    <w:tl2br w:val="nil"/>
                    <w:tr2bl w:val="nil"/>
                  </w:tcBorders>
                  <w:vAlign w:val="center"/>
                </w:tcPr>
                <w:p>
                  <w:pPr>
                    <w:autoSpaceDE w:val="0"/>
                    <w:autoSpaceDN w:val="0"/>
                    <w:adjustRightInd w:val="0"/>
                    <w:snapToGrid w:val="0"/>
                    <w:jc w:val="center"/>
                    <w:rPr>
                      <w:b/>
                      <w:color w:val="auto"/>
                      <w:szCs w:val="21"/>
                    </w:rPr>
                  </w:pPr>
                  <w:r>
                    <w:rPr>
                      <w:b/>
                      <w:color w:val="auto"/>
                      <w:szCs w:val="21"/>
                    </w:rPr>
                    <w:t>污染物</w:t>
                  </w:r>
                </w:p>
              </w:tc>
              <w:tc>
                <w:tcPr>
                  <w:tcW w:w="867" w:type="pct"/>
                  <w:tcBorders>
                    <w:tl2br w:val="nil"/>
                    <w:tr2bl w:val="nil"/>
                  </w:tcBorders>
                  <w:vAlign w:val="center"/>
                </w:tcPr>
                <w:p>
                  <w:pPr>
                    <w:autoSpaceDE w:val="0"/>
                    <w:autoSpaceDN w:val="0"/>
                    <w:adjustRightInd w:val="0"/>
                    <w:snapToGrid w:val="0"/>
                    <w:jc w:val="center"/>
                    <w:rPr>
                      <w:b/>
                      <w:color w:val="auto"/>
                      <w:szCs w:val="21"/>
                    </w:rPr>
                  </w:pPr>
                  <w:r>
                    <w:rPr>
                      <w:b/>
                      <w:color w:val="auto"/>
                      <w:szCs w:val="21"/>
                    </w:rPr>
                    <w:t>1小时平均值</w:t>
                  </w:r>
                </w:p>
                <w:p>
                  <w:pPr>
                    <w:autoSpaceDE w:val="0"/>
                    <w:autoSpaceDN w:val="0"/>
                    <w:adjustRightInd w:val="0"/>
                    <w:snapToGrid w:val="0"/>
                    <w:jc w:val="center"/>
                    <w:rPr>
                      <w:b/>
                      <w:color w:val="auto"/>
                      <w:szCs w:val="21"/>
                    </w:rPr>
                  </w:pPr>
                  <w:r>
                    <w:rPr>
                      <w:b/>
                      <w:color w:val="auto"/>
                      <w:szCs w:val="21"/>
                    </w:rPr>
                    <w:t>（μg/m</w:t>
                  </w:r>
                  <w:r>
                    <w:rPr>
                      <w:b/>
                      <w:color w:val="auto"/>
                      <w:szCs w:val="21"/>
                      <w:vertAlign w:val="superscript"/>
                    </w:rPr>
                    <w:t>3</w:t>
                  </w:r>
                  <w:r>
                    <w:rPr>
                      <w:b/>
                      <w:color w:val="auto"/>
                      <w:szCs w:val="21"/>
                    </w:rPr>
                    <w:t>）</w:t>
                  </w:r>
                </w:p>
              </w:tc>
              <w:tc>
                <w:tcPr>
                  <w:tcW w:w="1317" w:type="pct"/>
                  <w:tcBorders>
                    <w:tl2br w:val="nil"/>
                    <w:tr2bl w:val="nil"/>
                  </w:tcBorders>
                  <w:vAlign w:val="center"/>
                </w:tcPr>
                <w:p>
                  <w:pPr>
                    <w:autoSpaceDE w:val="0"/>
                    <w:autoSpaceDN w:val="0"/>
                    <w:adjustRightInd w:val="0"/>
                    <w:snapToGrid w:val="0"/>
                    <w:jc w:val="center"/>
                    <w:rPr>
                      <w:b/>
                      <w:color w:val="auto"/>
                      <w:szCs w:val="21"/>
                    </w:rPr>
                  </w:pPr>
                  <w:r>
                    <w:rPr>
                      <w:b/>
                      <w:color w:val="auto"/>
                      <w:szCs w:val="21"/>
                    </w:rPr>
                    <w:t>24小时平均值</w:t>
                  </w:r>
                </w:p>
                <w:p>
                  <w:pPr>
                    <w:autoSpaceDE w:val="0"/>
                    <w:autoSpaceDN w:val="0"/>
                    <w:adjustRightInd w:val="0"/>
                    <w:snapToGrid w:val="0"/>
                    <w:jc w:val="center"/>
                    <w:rPr>
                      <w:b/>
                      <w:color w:val="auto"/>
                      <w:szCs w:val="21"/>
                    </w:rPr>
                  </w:pPr>
                  <w:r>
                    <w:rPr>
                      <w:b/>
                      <w:color w:val="auto"/>
                      <w:szCs w:val="21"/>
                    </w:rPr>
                    <w:t>（μg/m</w:t>
                  </w:r>
                  <w:r>
                    <w:rPr>
                      <w:b/>
                      <w:color w:val="auto"/>
                      <w:szCs w:val="21"/>
                      <w:vertAlign w:val="superscript"/>
                    </w:rPr>
                    <w:t>3</w:t>
                  </w:r>
                  <w:r>
                    <w:rPr>
                      <w:b/>
                      <w:color w:val="auto"/>
                      <w:szCs w:val="21"/>
                    </w:rPr>
                    <w:t>）</w:t>
                  </w:r>
                </w:p>
              </w:tc>
              <w:tc>
                <w:tcPr>
                  <w:tcW w:w="746" w:type="pct"/>
                  <w:tcBorders>
                    <w:tl2br w:val="nil"/>
                    <w:tr2bl w:val="nil"/>
                  </w:tcBorders>
                  <w:vAlign w:val="center"/>
                </w:tcPr>
                <w:p>
                  <w:pPr>
                    <w:autoSpaceDE w:val="0"/>
                    <w:autoSpaceDN w:val="0"/>
                    <w:adjustRightInd w:val="0"/>
                    <w:snapToGrid w:val="0"/>
                    <w:jc w:val="center"/>
                    <w:rPr>
                      <w:b/>
                      <w:color w:val="auto"/>
                      <w:szCs w:val="21"/>
                    </w:rPr>
                  </w:pPr>
                  <w:r>
                    <w:rPr>
                      <w:b/>
                      <w:color w:val="auto"/>
                      <w:szCs w:val="21"/>
                    </w:rPr>
                    <w:t>年平均值</w:t>
                  </w:r>
                </w:p>
                <w:p>
                  <w:pPr>
                    <w:autoSpaceDE w:val="0"/>
                    <w:autoSpaceDN w:val="0"/>
                    <w:adjustRightInd w:val="0"/>
                    <w:snapToGrid w:val="0"/>
                    <w:jc w:val="center"/>
                    <w:rPr>
                      <w:b/>
                      <w:color w:val="auto"/>
                      <w:szCs w:val="21"/>
                    </w:rPr>
                  </w:pPr>
                  <w:r>
                    <w:rPr>
                      <w:b/>
                      <w:color w:val="auto"/>
                      <w:szCs w:val="21"/>
                    </w:rPr>
                    <w:t>（μg/m</w:t>
                  </w:r>
                  <w:r>
                    <w:rPr>
                      <w:b/>
                      <w:color w:val="auto"/>
                      <w:szCs w:val="21"/>
                      <w:vertAlign w:val="superscript"/>
                    </w:rPr>
                    <w:t>3</w:t>
                  </w:r>
                  <w:r>
                    <w:rPr>
                      <w:b/>
                      <w:color w:val="auto"/>
                      <w:szCs w:val="21"/>
                    </w:rPr>
                    <w:t>）</w:t>
                  </w:r>
                </w:p>
              </w:tc>
              <w:tc>
                <w:tcPr>
                  <w:tcW w:w="1161" w:type="pct"/>
                  <w:tcBorders>
                    <w:tl2br w:val="nil"/>
                    <w:tr2bl w:val="nil"/>
                  </w:tcBorders>
                  <w:vAlign w:val="center"/>
                </w:tcPr>
                <w:p>
                  <w:pPr>
                    <w:autoSpaceDE w:val="0"/>
                    <w:autoSpaceDN w:val="0"/>
                    <w:adjustRightInd w:val="0"/>
                    <w:snapToGrid w:val="0"/>
                    <w:jc w:val="center"/>
                    <w:rPr>
                      <w:b/>
                      <w:color w:val="auto"/>
                      <w:szCs w:val="21"/>
                    </w:rPr>
                  </w:pPr>
                  <w:r>
                    <w:rPr>
                      <w:b/>
                      <w:color w:val="auto"/>
                      <w:szCs w:val="21"/>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autoSpaceDE w:val="0"/>
                    <w:autoSpaceDN w:val="0"/>
                    <w:adjustRightInd w:val="0"/>
                    <w:snapToGrid w:val="0"/>
                    <w:jc w:val="center"/>
                    <w:rPr>
                      <w:color w:val="auto"/>
                      <w:szCs w:val="21"/>
                    </w:rPr>
                  </w:pPr>
                  <w:r>
                    <w:rPr>
                      <w:color w:val="auto"/>
                      <w:szCs w:val="21"/>
                    </w:rPr>
                    <w:t>1</w:t>
                  </w:r>
                </w:p>
              </w:tc>
              <w:tc>
                <w:tcPr>
                  <w:tcW w:w="516" w:type="pct"/>
                  <w:tcBorders>
                    <w:tl2br w:val="nil"/>
                    <w:tr2bl w:val="nil"/>
                  </w:tcBorders>
                  <w:vAlign w:val="center"/>
                </w:tcPr>
                <w:p>
                  <w:pPr>
                    <w:autoSpaceDE w:val="0"/>
                    <w:autoSpaceDN w:val="0"/>
                    <w:adjustRightInd w:val="0"/>
                    <w:snapToGrid w:val="0"/>
                    <w:jc w:val="center"/>
                    <w:rPr>
                      <w:color w:val="auto"/>
                      <w:szCs w:val="21"/>
                    </w:rPr>
                  </w:pPr>
                  <w:r>
                    <w:rPr>
                      <w:color w:val="auto"/>
                      <w:szCs w:val="21"/>
                    </w:rPr>
                    <w:t>SO</w:t>
                  </w:r>
                  <w:r>
                    <w:rPr>
                      <w:color w:val="auto"/>
                      <w:szCs w:val="21"/>
                      <w:vertAlign w:val="subscript"/>
                    </w:rPr>
                    <w:t>2</w:t>
                  </w:r>
                </w:p>
              </w:tc>
              <w:tc>
                <w:tcPr>
                  <w:tcW w:w="86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500</w:t>
                  </w:r>
                </w:p>
              </w:tc>
              <w:tc>
                <w:tcPr>
                  <w:tcW w:w="131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150</w:t>
                  </w:r>
                </w:p>
              </w:tc>
              <w:tc>
                <w:tcPr>
                  <w:tcW w:w="746"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60</w:t>
                  </w:r>
                </w:p>
              </w:tc>
              <w:tc>
                <w:tcPr>
                  <w:tcW w:w="1161" w:type="pct"/>
                  <w:vMerge w:val="restart"/>
                  <w:tcBorders>
                    <w:tl2br w:val="nil"/>
                    <w:tr2bl w:val="nil"/>
                  </w:tcBorders>
                  <w:vAlign w:val="center"/>
                </w:tcPr>
                <w:p>
                  <w:pPr>
                    <w:autoSpaceDE w:val="0"/>
                    <w:autoSpaceDN w:val="0"/>
                    <w:adjustRightInd w:val="0"/>
                    <w:snapToGrid w:val="0"/>
                    <w:jc w:val="center"/>
                    <w:rPr>
                      <w:color w:val="auto"/>
                      <w:szCs w:val="21"/>
                    </w:rPr>
                  </w:pPr>
                  <w:r>
                    <w:rPr>
                      <w:color w:val="auto"/>
                      <w:szCs w:val="21"/>
                    </w:rPr>
                    <w:t>《环境空气质量标准》（GB3095-2012）</w:t>
                  </w:r>
                  <w:r>
                    <w:rPr>
                      <w:color w:val="auto"/>
                      <w:spacing w:val="-6"/>
                      <w:szCs w:val="21"/>
                    </w:rPr>
                    <w:t>中二级标准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autoSpaceDE w:val="0"/>
                    <w:autoSpaceDN w:val="0"/>
                    <w:adjustRightInd w:val="0"/>
                    <w:snapToGrid w:val="0"/>
                    <w:jc w:val="center"/>
                    <w:rPr>
                      <w:color w:val="auto"/>
                      <w:szCs w:val="21"/>
                    </w:rPr>
                  </w:pPr>
                  <w:r>
                    <w:rPr>
                      <w:color w:val="auto"/>
                      <w:szCs w:val="21"/>
                    </w:rPr>
                    <w:t>2</w:t>
                  </w:r>
                </w:p>
              </w:tc>
              <w:tc>
                <w:tcPr>
                  <w:tcW w:w="516" w:type="pct"/>
                  <w:tcBorders>
                    <w:tl2br w:val="nil"/>
                    <w:tr2bl w:val="nil"/>
                  </w:tcBorders>
                  <w:vAlign w:val="center"/>
                </w:tcPr>
                <w:p>
                  <w:pPr>
                    <w:autoSpaceDE w:val="0"/>
                    <w:autoSpaceDN w:val="0"/>
                    <w:adjustRightInd w:val="0"/>
                    <w:snapToGrid w:val="0"/>
                    <w:jc w:val="center"/>
                    <w:rPr>
                      <w:color w:val="auto"/>
                      <w:szCs w:val="21"/>
                    </w:rPr>
                  </w:pPr>
                  <w:r>
                    <w:rPr>
                      <w:color w:val="auto"/>
                      <w:szCs w:val="21"/>
                    </w:rPr>
                    <w:t>NO</w:t>
                  </w:r>
                  <w:r>
                    <w:rPr>
                      <w:color w:val="auto"/>
                      <w:szCs w:val="21"/>
                      <w:vertAlign w:val="subscript"/>
                    </w:rPr>
                    <w:t>2</w:t>
                  </w:r>
                </w:p>
              </w:tc>
              <w:tc>
                <w:tcPr>
                  <w:tcW w:w="86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200</w:t>
                  </w:r>
                </w:p>
              </w:tc>
              <w:tc>
                <w:tcPr>
                  <w:tcW w:w="131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80</w:t>
                  </w:r>
                </w:p>
              </w:tc>
              <w:tc>
                <w:tcPr>
                  <w:tcW w:w="746"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40</w:t>
                  </w:r>
                </w:p>
              </w:tc>
              <w:tc>
                <w:tcPr>
                  <w:tcW w:w="1161" w:type="pct"/>
                  <w:vMerge w:val="continue"/>
                  <w:tcBorders>
                    <w:tl2br w:val="nil"/>
                    <w:tr2bl w:val="nil"/>
                  </w:tcBorders>
                  <w:vAlign w:val="center"/>
                </w:tcPr>
                <w:p>
                  <w:pPr>
                    <w:autoSpaceDE w:val="0"/>
                    <w:autoSpaceDN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autoSpaceDE w:val="0"/>
                    <w:autoSpaceDN w:val="0"/>
                    <w:adjustRightInd w:val="0"/>
                    <w:snapToGrid w:val="0"/>
                    <w:jc w:val="center"/>
                    <w:rPr>
                      <w:color w:val="auto"/>
                      <w:szCs w:val="21"/>
                    </w:rPr>
                  </w:pPr>
                  <w:r>
                    <w:rPr>
                      <w:color w:val="auto"/>
                      <w:szCs w:val="21"/>
                    </w:rPr>
                    <w:t>3</w:t>
                  </w:r>
                </w:p>
              </w:tc>
              <w:tc>
                <w:tcPr>
                  <w:tcW w:w="516" w:type="pct"/>
                  <w:tcBorders>
                    <w:tl2br w:val="nil"/>
                    <w:tr2bl w:val="nil"/>
                  </w:tcBorders>
                  <w:vAlign w:val="center"/>
                </w:tcPr>
                <w:p>
                  <w:pPr>
                    <w:autoSpaceDE w:val="0"/>
                    <w:autoSpaceDN w:val="0"/>
                    <w:adjustRightInd w:val="0"/>
                    <w:snapToGrid w:val="0"/>
                    <w:jc w:val="center"/>
                    <w:rPr>
                      <w:color w:val="auto"/>
                      <w:szCs w:val="21"/>
                    </w:rPr>
                  </w:pPr>
                  <w:r>
                    <w:rPr>
                      <w:color w:val="auto"/>
                      <w:szCs w:val="21"/>
                    </w:rPr>
                    <w:t>PM</w:t>
                  </w:r>
                  <w:r>
                    <w:rPr>
                      <w:color w:val="auto"/>
                      <w:szCs w:val="21"/>
                      <w:vertAlign w:val="subscript"/>
                    </w:rPr>
                    <w:t>10</w:t>
                  </w:r>
                </w:p>
              </w:tc>
              <w:tc>
                <w:tcPr>
                  <w:tcW w:w="86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w:t>
                  </w:r>
                </w:p>
              </w:tc>
              <w:tc>
                <w:tcPr>
                  <w:tcW w:w="131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150</w:t>
                  </w:r>
                </w:p>
              </w:tc>
              <w:tc>
                <w:tcPr>
                  <w:tcW w:w="746"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70</w:t>
                  </w:r>
                </w:p>
              </w:tc>
              <w:tc>
                <w:tcPr>
                  <w:tcW w:w="1161" w:type="pct"/>
                  <w:vMerge w:val="continue"/>
                  <w:tcBorders>
                    <w:tl2br w:val="nil"/>
                    <w:tr2bl w:val="nil"/>
                  </w:tcBorders>
                  <w:vAlign w:val="center"/>
                </w:tcPr>
                <w:p>
                  <w:pPr>
                    <w:autoSpaceDE w:val="0"/>
                    <w:autoSpaceDN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autoSpaceDE w:val="0"/>
                    <w:autoSpaceDN w:val="0"/>
                    <w:adjustRightInd w:val="0"/>
                    <w:snapToGrid w:val="0"/>
                    <w:jc w:val="center"/>
                    <w:rPr>
                      <w:color w:val="auto"/>
                      <w:szCs w:val="21"/>
                    </w:rPr>
                  </w:pPr>
                  <w:r>
                    <w:rPr>
                      <w:color w:val="auto"/>
                      <w:szCs w:val="21"/>
                    </w:rPr>
                    <w:t>4</w:t>
                  </w:r>
                </w:p>
              </w:tc>
              <w:tc>
                <w:tcPr>
                  <w:tcW w:w="516" w:type="pct"/>
                  <w:tcBorders>
                    <w:tl2br w:val="nil"/>
                    <w:tr2bl w:val="nil"/>
                  </w:tcBorders>
                  <w:vAlign w:val="center"/>
                </w:tcPr>
                <w:p>
                  <w:pPr>
                    <w:autoSpaceDE w:val="0"/>
                    <w:autoSpaceDN w:val="0"/>
                    <w:adjustRightInd w:val="0"/>
                    <w:snapToGrid w:val="0"/>
                    <w:jc w:val="center"/>
                    <w:rPr>
                      <w:color w:val="auto"/>
                      <w:szCs w:val="21"/>
                    </w:rPr>
                  </w:pPr>
                  <w:r>
                    <w:rPr>
                      <w:color w:val="auto"/>
                      <w:szCs w:val="21"/>
                    </w:rPr>
                    <w:t>PM</w:t>
                  </w:r>
                  <w:r>
                    <w:rPr>
                      <w:color w:val="auto"/>
                      <w:szCs w:val="21"/>
                      <w:vertAlign w:val="subscript"/>
                    </w:rPr>
                    <w:t>2.5</w:t>
                  </w:r>
                </w:p>
              </w:tc>
              <w:tc>
                <w:tcPr>
                  <w:tcW w:w="86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w:t>
                  </w:r>
                </w:p>
              </w:tc>
              <w:tc>
                <w:tcPr>
                  <w:tcW w:w="131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75</w:t>
                  </w:r>
                </w:p>
              </w:tc>
              <w:tc>
                <w:tcPr>
                  <w:tcW w:w="746"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35</w:t>
                  </w:r>
                </w:p>
              </w:tc>
              <w:tc>
                <w:tcPr>
                  <w:tcW w:w="1161" w:type="pct"/>
                  <w:vMerge w:val="continue"/>
                  <w:tcBorders>
                    <w:tl2br w:val="nil"/>
                    <w:tr2bl w:val="nil"/>
                  </w:tcBorders>
                  <w:vAlign w:val="center"/>
                </w:tcPr>
                <w:p>
                  <w:pPr>
                    <w:autoSpaceDE w:val="0"/>
                    <w:autoSpaceDN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autoSpaceDE w:val="0"/>
                    <w:autoSpaceDN w:val="0"/>
                    <w:adjustRightInd w:val="0"/>
                    <w:snapToGrid w:val="0"/>
                    <w:jc w:val="center"/>
                    <w:rPr>
                      <w:color w:val="auto"/>
                      <w:szCs w:val="21"/>
                    </w:rPr>
                  </w:pPr>
                  <w:r>
                    <w:rPr>
                      <w:color w:val="auto"/>
                      <w:szCs w:val="21"/>
                    </w:rPr>
                    <w:t>5</w:t>
                  </w:r>
                </w:p>
              </w:tc>
              <w:tc>
                <w:tcPr>
                  <w:tcW w:w="516" w:type="pct"/>
                  <w:tcBorders>
                    <w:tl2br w:val="nil"/>
                    <w:tr2bl w:val="nil"/>
                  </w:tcBorders>
                  <w:vAlign w:val="center"/>
                </w:tcPr>
                <w:p>
                  <w:pPr>
                    <w:autoSpaceDE w:val="0"/>
                    <w:autoSpaceDN w:val="0"/>
                    <w:adjustRightInd w:val="0"/>
                    <w:snapToGrid w:val="0"/>
                    <w:jc w:val="center"/>
                    <w:rPr>
                      <w:color w:val="auto"/>
                      <w:szCs w:val="21"/>
                    </w:rPr>
                  </w:pPr>
                  <w:r>
                    <w:rPr>
                      <w:color w:val="auto"/>
                      <w:szCs w:val="21"/>
                    </w:rPr>
                    <w:t>CO</w:t>
                  </w:r>
                </w:p>
              </w:tc>
              <w:tc>
                <w:tcPr>
                  <w:tcW w:w="86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10</w:t>
                  </w:r>
                </w:p>
              </w:tc>
              <w:tc>
                <w:tcPr>
                  <w:tcW w:w="131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4</w:t>
                  </w:r>
                </w:p>
              </w:tc>
              <w:tc>
                <w:tcPr>
                  <w:tcW w:w="746"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w:t>
                  </w:r>
                </w:p>
              </w:tc>
              <w:tc>
                <w:tcPr>
                  <w:tcW w:w="1161" w:type="pct"/>
                  <w:vMerge w:val="continue"/>
                  <w:tcBorders>
                    <w:tl2br w:val="nil"/>
                    <w:tr2bl w:val="nil"/>
                  </w:tcBorders>
                  <w:vAlign w:val="center"/>
                </w:tcPr>
                <w:p>
                  <w:pPr>
                    <w:autoSpaceDE w:val="0"/>
                    <w:autoSpaceDN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autoSpaceDE w:val="0"/>
                    <w:autoSpaceDN w:val="0"/>
                    <w:adjustRightInd w:val="0"/>
                    <w:snapToGrid w:val="0"/>
                    <w:jc w:val="center"/>
                    <w:rPr>
                      <w:color w:val="auto"/>
                      <w:szCs w:val="21"/>
                    </w:rPr>
                  </w:pPr>
                  <w:r>
                    <w:rPr>
                      <w:color w:val="auto"/>
                      <w:szCs w:val="21"/>
                    </w:rPr>
                    <w:t>6</w:t>
                  </w:r>
                </w:p>
              </w:tc>
              <w:tc>
                <w:tcPr>
                  <w:tcW w:w="516" w:type="pct"/>
                  <w:tcBorders>
                    <w:tl2br w:val="nil"/>
                    <w:tr2bl w:val="nil"/>
                  </w:tcBorders>
                  <w:vAlign w:val="center"/>
                </w:tcPr>
                <w:p>
                  <w:pPr>
                    <w:autoSpaceDE w:val="0"/>
                    <w:autoSpaceDN w:val="0"/>
                    <w:adjustRightInd w:val="0"/>
                    <w:snapToGrid w:val="0"/>
                    <w:jc w:val="center"/>
                    <w:rPr>
                      <w:color w:val="auto"/>
                      <w:szCs w:val="21"/>
                    </w:rPr>
                  </w:pPr>
                  <w:r>
                    <w:rPr>
                      <w:color w:val="auto"/>
                      <w:szCs w:val="21"/>
                    </w:rPr>
                    <w:t>O</w:t>
                  </w:r>
                  <w:r>
                    <w:rPr>
                      <w:color w:val="auto"/>
                      <w:szCs w:val="21"/>
                      <w:vertAlign w:val="subscript"/>
                    </w:rPr>
                    <w:t>3</w:t>
                  </w:r>
                </w:p>
              </w:tc>
              <w:tc>
                <w:tcPr>
                  <w:tcW w:w="867"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200</w:t>
                  </w:r>
                </w:p>
              </w:tc>
              <w:tc>
                <w:tcPr>
                  <w:tcW w:w="1317" w:type="pct"/>
                  <w:tcBorders>
                    <w:tl2br w:val="nil"/>
                    <w:tr2bl w:val="nil"/>
                  </w:tcBorders>
                  <w:vAlign w:val="center"/>
                </w:tcPr>
                <w:p>
                  <w:pPr>
                    <w:autoSpaceDE w:val="0"/>
                    <w:autoSpaceDN w:val="0"/>
                    <w:adjustRightInd w:val="0"/>
                    <w:snapToGrid w:val="0"/>
                    <w:jc w:val="center"/>
                    <w:rPr>
                      <w:color w:val="auto"/>
                      <w:spacing w:val="-6"/>
                      <w:szCs w:val="21"/>
                    </w:rPr>
                  </w:pPr>
                  <w:r>
                    <w:rPr>
                      <w:color w:val="auto"/>
                      <w:spacing w:val="-6"/>
                      <w:szCs w:val="21"/>
                    </w:rPr>
                    <w:t>160</w:t>
                  </w:r>
                </w:p>
                <w:p>
                  <w:pPr>
                    <w:autoSpaceDE w:val="0"/>
                    <w:autoSpaceDN w:val="0"/>
                    <w:adjustRightInd w:val="0"/>
                    <w:snapToGrid w:val="0"/>
                    <w:jc w:val="center"/>
                    <w:rPr>
                      <w:color w:val="auto"/>
                      <w:szCs w:val="21"/>
                    </w:rPr>
                  </w:pPr>
                  <w:r>
                    <w:rPr>
                      <w:color w:val="auto"/>
                      <w:szCs w:val="21"/>
                    </w:rPr>
                    <w:t>（日最大8h均值）</w:t>
                  </w:r>
                </w:p>
              </w:tc>
              <w:tc>
                <w:tcPr>
                  <w:tcW w:w="746" w:type="pct"/>
                  <w:tcBorders>
                    <w:tl2br w:val="nil"/>
                    <w:tr2bl w:val="nil"/>
                  </w:tcBorders>
                  <w:vAlign w:val="center"/>
                </w:tcPr>
                <w:p>
                  <w:pPr>
                    <w:autoSpaceDE w:val="0"/>
                    <w:autoSpaceDN w:val="0"/>
                    <w:adjustRightInd w:val="0"/>
                    <w:snapToGrid w:val="0"/>
                    <w:jc w:val="center"/>
                    <w:rPr>
                      <w:color w:val="auto"/>
                      <w:szCs w:val="21"/>
                    </w:rPr>
                  </w:pPr>
                  <w:r>
                    <w:rPr>
                      <w:color w:val="auto"/>
                      <w:spacing w:val="-6"/>
                      <w:szCs w:val="21"/>
                    </w:rPr>
                    <w:t>/</w:t>
                  </w:r>
                </w:p>
              </w:tc>
              <w:tc>
                <w:tcPr>
                  <w:tcW w:w="1161" w:type="pct"/>
                  <w:vMerge w:val="continue"/>
                  <w:tcBorders>
                    <w:tl2br w:val="nil"/>
                    <w:tr2bl w:val="nil"/>
                  </w:tcBorders>
                  <w:vAlign w:val="center"/>
                </w:tcPr>
                <w:p>
                  <w:pPr>
                    <w:autoSpaceDE w:val="0"/>
                    <w:autoSpaceDN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93" w:type="pct"/>
                  <w:tcBorders>
                    <w:tl2br w:val="nil"/>
                    <w:tr2bl w:val="nil"/>
                  </w:tcBorders>
                  <w:vAlign w:val="center"/>
                </w:tcPr>
                <w:p>
                  <w:pPr>
                    <w:autoSpaceDE w:val="0"/>
                    <w:autoSpaceDN w:val="0"/>
                    <w:adjustRightInd w:val="0"/>
                    <w:snapToGrid w:val="0"/>
                    <w:jc w:val="center"/>
                    <w:rPr>
                      <w:color w:val="auto"/>
                      <w:szCs w:val="21"/>
                    </w:rPr>
                  </w:pPr>
                  <w:r>
                    <w:rPr>
                      <w:color w:val="auto"/>
                      <w:szCs w:val="21"/>
                    </w:rPr>
                    <w:t>7</w:t>
                  </w:r>
                </w:p>
              </w:tc>
              <w:tc>
                <w:tcPr>
                  <w:tcW w:w="516" w:type="pct"/>
                  <w:tcBorders>
                    <w:tl2br w:val="nil"/>
                    <w:tr2bl w:val="nil"/>
                  </w:tcBorders>
                  <w:vAlign w:val="center"/>
                </w:tcPr>
                <w:p>
                  <w:pPr>
                    <w:autoSpaceDE w:val="0"/>
                    <w:autoSpaceDN w:val="0"/>
                    <w:adjustRightInd w:val="0"/>
                    <w:snapToGrid w:val="0"/>
                    <w:jc w:val="center"/>
                    <w:rPr>
                      <w:color w:val="auto"/>
                      <w:szCs w:val="21"/>
                    </w:rPr>
                  </w:pPr>
                  <w:r>
                    <w:rPr>
                      <w:color w:val="auto"/>
                      <w:szCs w:val="21"/>
                    </w:rPr>
                    <w:t>TSP</w:t>
                  </w:r>
                </w:p>
              </w:tc>
              <w:tc>
                <w:tcPr>
                  <w:tcW w:w="867" w:type="pct"/>
                  <w:tcBorders>
                    <w:tl2br w:val="nil"/>
                    <w:tr2bl w:val="nil"/>
                  </w:tcBorders>
                  <w:vAlign w:val="center"/>
                </w:tcPr>
                <w:p>
                  <w:pPr>
                    <w:autoSpaceDE w:val="0"/>
                    <w:autoSpaceDN w:val="0"/>
                    <w:adjustRightInd w:val="0"/>
                    <w:snapToGrid w:val="0"/>
                    <w:jc w:val="center"/>
                    <w:rPr>
                      <w:color w:val="auto"/>
                      <w:spacing w:val="-6"/>
                      <w:szCs w:val="21"/>
                    </w:rPr>
                  </w:pPr>
                  <w:r>
                    <w:rPr>
                      <w:color w:val="auto"/>
                      <w:spacing w:val="-6"/>
                      <w:szCs w:val="21"/>
                    </w:rPr>
                    <w:t>/</w:t>
                  </w:r>
                </w:p>
              </w:tc>
              <w:tc>
                <w:tcPr>
                  <w:tcW w:w="1317" w:type="pct"/>
                  <w:tcBorders>
                    <w:tl2br w:val="nil"/>
                    <w:tr2bl w:val="nil"/>
                  </w:tcBorders>
                  <w:vAlign w:val="center"/>
                </w:tcPr>
                <w:p>
                  <w:pPr>
                    <w:autoSpaceDE w:val="0"/>
                    <w:autoSpaceDN w:val="0"/>
                    <w:adjustRightInd w:val="0"/>
                    <w:snapToGrid w:val="0"/>
                    <w:jc w:val="center"/>
                    <w:rPr>
                      <w:color w:val="auto"/>
                      <w:spacing w:val="-6"/>
                      <w:szCs w:val="21"/>
                    </w:rPr>
                  </w:pPr>
                  <w:r>
                    <w:rPr>
                      <w:color w:val="auto"/>
                      <w:spacing w:val="-6"/>
                      <w:szCs w:val="21"/>
                    </w:rPr>
                    <w:t>300</w:t>
                  </w:r>
                </w:p>
              </w:tc>
              <w:tc>
                <w:tcPr>
                  <w:tcW w:w="746" w:type="pct"/>
                  <w:tcBorders>
                    <w:tl2br w:val="nil"/>
                    <w:tr2bl w:val="nil"/>
                  </w:tcBorders>
                  <w:vAlign w:val="center"/>
                </w:tcPr>
                <w:p>
                  <w:pPr>
                    <w:autoSpaceDE w:val="0"/>
                    <w:autoSpaceDN w:val="0"/>
                    <w:adjustRightInd w:val="0"/>
                    <w:snapToGrid w:val="0"/>
                    <w:jc w:val="center"/>
                    <w:rPr>
                      <w:color w:val="auto"/>
                      <w:spacing w:val="-6"/>
                      <w:szCs w:val="21"/>
                    </w:rPr>
                  </w:pPr>
                  <w:r>
                    <w:rPr>
                      <w:color w:val="auto"/>
                      <w:spacing w:val="-6"/>
                      <w:szCs w:val="21"/>
                    </w:rPr>
                    <w:t>200</w:t>
                  </w:r>
                </w:p>
              </w:tc>
              <w:tc>
                <w:tcPr>
                  <w:tcW w:w="1161" w:type="pct"/>
                  <w:vMerge w:val="continue"/>
                  <w:tcBorders>
                    <w:tl2br w:val="nil"/>
                    <w:tr2bl w:val="nil"/>
                  </w:tcBorders>
                  <w:vAlign w:val="center"/>
                </w:tcPr>
                <w:p>
                  <w:pPr>
                    <w:autoSpaceDE w:val="0"/>
                    <w:autoSpaceDN w:val="0"/>
                    <w:adjustRightInd w:val="0"/>
                    <w:snapToGrid w:val="0"/>
                    <w:jc w:val="center"/>
                    <w:rPr>
                      <w:color w:val="auto"/>
                      <w:szCs w:val="21"/>
                    </w:rPr>
                  </w:pPr>
                </w:p>
              </w:tc>
            </w:tr>
          </w:tbl>
          <w:p>
            <w:pPr>
              <w:adjustRightInd w:val="0"/>
              <w:snapToGrid w:val="0"/>
              <w:spacing w:line="360" w:lineRule="auto"/>
              <w:ind w:firstLine="482" w:firstLineChars="200"/>
              <w:jc w:val="left"/>
              <w:rPr>
                <w:b/>
                <w:bCs/>
                <w:color w:val="auto"/>
                <w:sz w:val="24"/>
              </w:rPr>
            </w:pPr>
            <w:r>
              <w:rPr>
                <w:rFonts w:hint="eastAsia" w:ascii="宋体" w:hAnsi="宋体" w:cs="宋体"/>
                <w:b/>
                <w:bCs/>
                <w:color w:val="auto"/>
                <w:sz w:val="24"/>
              </w:rPr>
              <w:t>（2）</w:t>
            </w:r>
            <w:r>
              <w:rPr>
                <w:b/>
                <w:bCs/>
                <w:color w:val="auto"/>
                <w:sz w:val="24"/>
              </w:rPr>
              <w:t>地表水环境</w:t>
            </w:r>
          </w:p>
          <w:p>
            <w:pPr>
              <w:adjustRightInd w:val="0"/>
              <w:snapToGrid w:val="0"/>
              <w:spacing w:line="360" w:lineRule="auto"/>
              <w:ind w:firstLine="480" w:firstLineChars="200"/>
              <w:jc w:val="left"/>
              <w:rPr>
                <w:color w:val="auto"/>
                <w:sz w:val="24"/>
              </w:rPr>
            </w:pPr>
            <w:r>
              <w:rPr>
                <w:color w:val="auto"/>
                <w:sz w:val="24"/>
              </w:rPr>
              <w:t>项目所在区域地表水体主要为王洼沟、庙台水库，执行《地表水环境质量标准》（GB3838-2002）中的Ⅲ标准，具体见表3-</w:t>
            </w:r>
            <w:r>
              <w:rPr>
                <w:rFonts w:hint="eastAsia"/>
                <w:color w:val="auto"/>
                <w:sz w:val="24"/>
              </w:rPr>
              <w:t>5。</w:t>
            </w:r>
          </w:p>
          <w:p>
            <w:pPr>
              <w:autoSpaceDE w:val="0"/>
              <w:autoSpaceDN w:val="0"/>
              <w:adjustRightInd w:val="0"/>
              <w:snapToGrid w:val="0"/>
              <w:spacing w:before="24" w:beforeLines="10"/>
              <w:ind w:firstLine="723" w:firstLineChars="300"/>
              <w:rPr>
                <w:color w:val="auto"/>
                <w:sz w:val="24"/>
              </w:rPr>
            </w:pPr>
            <w:r>
              <w:rPr>
                <w:b/>
                <w:bCs/>
                <w:color w:val="auto"/>
                <w:sz w:val="24"/>
              </w:rPr>
              <w:t>表3-</w:t>
            </w:r>
            <w:r>
              <w:rPr>
                <w:rFonts w:hint="eastAsia"/>
                <w:b/>
                <w:bCs/>
                <w:color w:val="auto"/>
                <w:sz w:val="24"/>
              </w:rPr>
              <w:t>5</w:t>
            </w:r>
            <w:r>
              <w:rPr>
                <w:b/>
                <w:bCs/>
                <w:color w:val="auto"/>
                <w:sz w:val="24"/>
              </w:rPr>
              <w:t xml:space="preserve">    </w:t>
            </w:r>
            <w:r>
              <w:rPr>
                <w:rFonts w:hint="eastAsia"/>
                <w:b/>
                <w:bCs/>
                <w:color w:val="auto"/>
                <w:sz w:val="24"/>
              </w:rPr>
              <w:t xml:space="preserve">   </w:t>
            </w:r>
            <w:r>
              <w:rPr>
                <w:b/>
                <w:bCs/>
                <w:color w:val="auto"/>
                <w:sz w:val="24"/>
              </w:rPr>
              <w:t xml:space="preserve"> 《地表水环境质量标准》（GB3838-2002）中Ⅲ类标准；</w:t>
            </w:r>
          </w:p>
          <w:tbl>
            <w:tblPr>
              <w:tblStyle w:val="19"/>
              <w:tblW w:w="496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2211"/>
              <w:gridCol w:w="2513"/>
              <w:gridCol w:w="1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vAlign w:val="center"/>
                </w:tcPr>
                <w:p>
                  <w:pPr>
                    <w:jc w:val="center"/>
                    <w:rPr>
                      <w:b/>
                      <w:bCs/>
                      <w:color w:val="auto"/>
                      <w:szCs w:val="21"/>
                    </w:rPr>
                  </w:pPr>
                  <w:r>
                    <w:rPr>
                      <w:b/>
                      <w:bCs/>
                      <w:color w:val="auto"/>
                      <w:szCs w:val="21"/>
                    </w:rPr>
                    <w:t>序号</w:t>
                  </w:r>
                </w:p>
              </w:tc>
              <w:tc>
                <w:tcPr>
                  <w:tcW w:w="1386" w:type="pct"/>
                  <w:vAlign w:val="center"/>
                </w:tcPr>
                <w:p>
                  <w:pPr>
                    <w:jc w:val="center"/>
                    <w:rPr>
                      <w:b/>
                      <w:bCs/>
                      <w:color w:val="auto"/>
                      <w:szCs w:val="21"/>
                    </w:rPr>
                  </w:pPr>
                  <w:r>
                    <w:rPr>
                      <w:b/>
                      <w:bCs/>
                      <w:color w:val="auto"/>
                      <w:szCs w:val="21"/>
                    </w:rPr>
                    <w:t>污染物名称</w:t>
                  </w:r>
                </w:p>
              </w:tc>
              <w:tc>
                <w:tcPr>
                  <w:tcW w:w="1576" w:type="pct"/>
                  <w:vAlign w:val="center"/>
                </w:tcPr>
                <w:p>
                  <w:pPr>
                    <w:jc w:val="center"/>
                    <w:rPr>
                      <w:b/>
                      <w:bCs/>
                      <w:color w:val="auto"/>
                      <w:szCs w:val="21"/>
                    </w:rPr>
                  </w:pPr>
                  <w:r>
                    <w:rPr>
                      <w:b/>
                      <w:bCs/>
                      <w:color w:val="auto"/>
                      <w:szCs w:val="21"/>
                    </w:rPr>
                    <w:t>标准限值</w:t>
                  </w:r>
                </w:p>
              </w:tc>
              <w:tc>
                <w:tcPr>
                  <w:tcW w:w="1155" w:type="pct"/>
                  <w:vAlign w:val="center"/>
                </w:tcPr>
                <w:p>
                  <w:pPr>
                    <w:jc w:val="center"/>
                    <w:rPr>
                      <w:b/>
                      <w:bCs/>
                      <w:color w:val="auto"/>
                      <w:szCs w:val="21"/>
                    </w:rPr>
                  </w:pPr>
                  <w:r>
                    <w:rPr>
                      <w:b/>
                      <w:bCs/>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w:t>
                  </w:r>
                </w:p>
              </w:tc>
              <w:tc>
                <w:tcPr>
                  <w:tcW w:w="1386" w:type="pct"/>
                  <w:shd w:val="clear" w:color="auto" w:fill="FFFFFF"/>
                  <w:vAlign w:val="center"/>
                </w:tcPr>
                <w:p>
                  <w:pPr>
                    <w:pStyle w:val="47"/>
                    <w:rPr>
                      <w:rFonts w:ascii="Times New Roman"/>
                      <w:color w:val="auto"/>
                      <w:sz w:val="21"/>
                      <w:szCs w:val="21"/>
                    </w:rPr>
                  </w:pPr>
                  <w:r>
                    <w:rPr>
                      <w:rFonts w:ascii="Times New Roman"/>
                      <w:color w:val="auto"/>
                      <w:sz w:val="21"/>
                      <w:szCs w:val="21"/>
                    </w:rPr>
                    <w:t>水温</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w:t>
                  </w:r>
                </w:p>
              </w:tc>
              <w:tc>
                <w:tcPr>
                  <w:tcW w:w="1155" w:type="pct"/>
                  <w:vMerge w:val="restart"/>
                  <w:vAlign w:val="center"/>
                </w:tcPr>
                <w:p>
                  <w:pPr>
                    <w:snapToGrid w:val="0"/>
                    <w:spacing w:line="240" w:lineRule="atLeast"/>
                    <w:ind w:left="105" w:hanging="105" w:hangingChars="50"/>
                    <w:jc w:val="center"/>
                    <w:rPr>
                      <w:color w:val="auto"/>
                      <w:szCs w:val="21"/>
                    </w:rPr>
                  </w:pPr>
                  <w:r>
                    <w:rPr>
                      <w:color w:val="auto"/>
                      <w:szCs w:val="21"/>
                    </w:rPr>
                    <w:t>《地表水环境质量标准》（GB3838-2002）</w:t>
                  </w:r>
                </w:p>
                <w:p>
                  <w:pPr>
                    <w:snapToGrid w:val="0"/>
                    <w:spacing w:line="240" w:lineRule="atLeast"/>
                    <w:ind w:left="105" w:hanging="105" w:hangingChars="50"/>
                    <w:jc w:val="center"/>
                    <w:rPr>
                      <w:color w:val="auto"/>
                      <w:szCs w:val="21"/>
                    </w:rPr>
                  </w:pPr>
                  <w:r>
                    <w:rPr>
                      <w:color w:val="auto"/>
                      <w:szCs w:val="21"/>
                    </w:rPr>
                    <w:t>中Ⅲ类标准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2</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pH</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6-9</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3</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溶解氧</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≥5</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4</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高锰酸盐指数</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6</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5</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bCs/>
                      <w:color w:val="auto"/>
                      <w:sz w:val="21"/>
                      <w:szCs w:val="21"/>
                    </w:rPr>
                    <w:t>化学需氧量</w:t>
                  </w:r>
                </w:p>
              </w:tc>
              <w:tc>
                <w:tcPr>
                  <w:tcW w:w="1576" w:type="pct"/>
                  <w:shd w:val="clear" w:color="auto" w:fill="FFFFFF"/>
                  <w:vAlign w:val="center"/>
                </w:tcPr>
                <w:p>
                  <w:pPr>
                    <w:pStyle w:val="47"/>
                    <w:rPr>
                      <w:rFonts w:ascii="Times New Roman"/>
                      <w:bCs/>
                      <w:color w:val="auto"/>
                      <w:sz w:val="21"/>
                      <w:szCs w:val="21"/>
                    </w:rPr>
                  </w:pPr>
                  <w:r>
                    <w:rPr>
                      <w:rFonts w:ascii="Times New Roman"/>
                      <w:bCs/>
                      <w:color w:val="auto"/>
                      <w:sz w:val="21"/>
                      <w:szCs w:val="21"/>
                      <w:lang w:eastAsia="zh-TW"/>
                    </w:rPr>
                    <w:t>20</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6</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bCs/>
                      <w:color w:val="auto"/>
                      <w:sz w:val="21"/>
                      <w:szCs w:val="21"/>
                    </w:rPr>
                    <w:t>五日生化需氧量</w:t>
                  </w:r>
                </w:p>
              </w:tc>
              <w:tc>
                <w:tcPr>
                  <w:tcW w:w="1576" w:type="pct"/>
                  <w:shd w:val="clear" w:color="auto" w:fill="FFFFFF"/>
                  <w:vAlign w:val="center"/>
                </w:tcPr>
                <w:p>
                  <w:pPr>
                    <w:pStyle w:val="47"/>
                    <w:rPr>
                      <w:rFonts w:ascii="Times New Roman"/>
                      <w:bCs/>
                      <w:color w:val="auto"/>
                      <w:sz w:val="21"/>
                      <w:szCs w:val="21"/>
                    </w:rPr>
                  </w:pPr>
                  <w:r>
                    <w:rPr>
                      <w:rFonts w:ascii="Times New Roman"/>
                      <w:bCs/>
                      <w:color w:val="auto"/>
                      <w:sz w:val="21"/>
                      <w:szCs w:val="21"/>
                      <w:lang w:eastAsia="zh-TW"/>
                    </w:rPr>
                    <w:t>4</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7</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bCs/>
                      <w:color w:val="auto"/>
                      <w:sz w:val="21"/>
                      <w:szCs w:val="21"/>
                    </w:rPr>
                    <w:t>氨氮</w:t>
                  </w:r>
                </w:p>
              </w:tc>
              <w:tc>
                <w:tcPr>
                  <w:tcW w:w="1576" w:type="pct"/>
                  <w:shd w:val="clear" w:color="auto" w:fill="FFFFFF"/>
                  <w:vAlign w:val="center"/>
                </w:tcPr>
                <w:p>
                  <w:pPr>
                    <w:pStyle w:val="47"/>
                    <w:rPr>
                      <w:rFonts w:ascii="Times New Roman"/>
                      <w:bCs/>
                      <w:color w:val="auto"/>
                      <w:sz w:val="21"/>
                      <w:szCs w:val="21"/>
                    </w:rPr>
                  </w:pPr>
                  <w:r>
                    <w:rPr>
                      <w:rStyle w:val="45"/>
                      <w:rFonts w:hint="default" w:ascii="Times New Roman" w:hAnsi="Times New Roman" w:eastAsia="宋体" w:cs="Times New Roman"/>
                      <w:bCs/>
                      <w:color w:val="auto"/>
                      <w:sz w:val="21"/>
                      <w:szCs w:val="21"/>
                    </w:rPr>
                    <w:t>1.0</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8</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bCs/>
                      <w:color w:val="auto"/>
                      <w:sz w:val="21"/>
                      <w:szCs w:val="21"/>
                    </w:rPr>
                    <w:t>总磷</w:t>
                  </w:r>
                </w:p>
              </w:tc>
              <w:tc>
                <w:tcPr>
                  <w:tcW w:w="1576" w:type="pct"/>
                  <w:shd w:val="clear" w:color="auto" w:fill="FFFFFF"/>
                  <w:vAlign w:val="center"/>
                </w:tcPr>
                <w:p>
                  <w:pPr>
                    <w:pStyle w:val="47"/>
                    <w:rPr>
                      <w:rFonts w:ascii="Times New Roman"/>
                      <w:bCs/>
                      <w:color w:val="auto"/>
                      <w:sz w:val="21"/>
                      <w:szCs w:val="21"/>
                    </w:rPr>
                  </w:pPr>
                  <w:r>
                    <w:rPr>
                      <w:rStyle w:val="45"/>
                      <w:rFonts w:hint="default" w:ascii="Times New Roman" w:hAnsi="Times New Roman" w:eastAsia="宋体" w:cs="Times New Roman"/>
                      <w:bCs/>
                      <w:color w:val="auto"/>
                      <w:sz w:val="21"/>
                      <w:szCs w:val="21"/>
                    </w:rPr>
                    <w:t>0.2</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9</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bCs/>
                      <w:color w:val="auto"/>
                      <w:sz w:val="21"/>
                      <w:szCs w:val="21"/>
                    </w:rPr>
                    <w:t>总氮</w:t>
                  </w:r>
                </w:p>
              </w:tc>
              <w:tc>
                <w:tcPr>
                  <w:tcW w:w="1576" w:type="pct"/>
                  <w:shd w:val="clear" w:color="auto" w:fill="FFFFFF"/>
                  <w:vAlign w:val="center"/>
                </w:tcPr>
                <w:p>
                  <w:pPr>
                    <w:pStyle w:val="47"/>
                    <w:rPr>
                      <w:rFonts w:ascii="Times New Roman"/>
                      <w:bCs/>
                      <w:color w:val="auto"/>
                      <w:sz w:val="21"/>
                      <w:szCs w:val="21"/>
                    </w:rPr>
                  </w:pPr>
                  <w:r>
                    <w:rPr>
                      <w:rStyle w:val="45"/>
                      <w:rFonts w:hint="default" w:ascii="Times New Roman" w:hAnsi="Times New Roman" w:eastAsia="宋体" w:cs="Times New Roman"/>
                      <w:bCs/>
                      <w:color w:val="auto"/>
                      <w:sz w:val="21"/>
                      <w:szCs w:val="21"/>
                    </w:rPr>
                    <w:t>1.0</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10</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bCs/>
                      <w:color w:val="auto"/>
                      <w:sz w:val="21"/>
                      <w:szCs w:val="21"/>
                    </w:rPr>
                    <w:t>铜</w:t>
                  </w:r>
                </w:p>
              </w:tc>
              <w:tc>
                <w:tcPr>
                  <w:tcW w:w="1576" w:type="pct"/>
                  <w:shd w:val="clear" w:color="auto" w:fill="FFFFFF"/>
                  <w:vAlign w:val="center"/>
                </w:tcPr>
                <w:p>
                  <w:pPr>
                    <w:pStyle w:val="47"/>
                    <w:rPr>
                      <w:rFonts w:ascii="Times New Roman"/>
                      <w:bCs/>
                      <w:color w:val="auto"/>
                      <w:sz w:val="21"/>
                      <w:szCs w:val="21"/>
                    </w:rPr>
                  </w:pPr>
                  <w:r>
                    <w:rPr>
                      <w:rStyle w:val="45"/>
                      <w:rFonts w:hint="default" w:ascii="Times New Roman" w:hAnsi="Times New Roman" w:eastAsia="宋体" w:cs="Times New Roman"/>
                      <w:bCs/>
                      <w:color w:val="auto"/>
                      <w:sz w:val="21"/>
                      <w:szCs w:val="21"/>
                    </w:rPr>
                    <w:t>1.0</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11</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锌</w:t>
                  </w:r>
                </w:p>
              </w:tc>
              <w:tc>
                <w:tcPr>
                  <w:tcW w:w="1576" w:type="pct"/>
                  <w:shd w:val="clear" w:color="auto" w:fill="FFFFFF"/>
                  <w:vAlign w:val="center"/>
                </w:tcPr>
                <w:p>
                  <w:pPr>
                    <w:pStyle w:val="47"/>
                    <w:rPr>
                      <w:rFonts w:ascii="Times New Roman"/>
                      <w:bCs/>
                      <w:color w:val="auto"/>
                      <w:sz w:val="21"/>
                      <w:szCs w:val="21"/>
                    </w:rPr>
                  </w:pPr>
                  <w:r>
                    <w:rPr>
                      <w:rStyle w:val="45"/>
                      <w:rFonts w:hint="default" w:ascii="Times New Roman" w:hAnsi="Times New Roman" w:eastAsia="宋体" w:cs="Times New Roman"/>
                      <w:color w:val="auto"/>
                      <w:sz w:val="21"/>
                      <w:szCs w:val="21"/>
                    </w:rPr>
                    <w:t>1.0</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12</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氟化物</w:t>
                  </w:r>
                </w:p>
              </w:tc>
              <w:tc>
                <w:tcPr>
                  <w:tcW w:w="1576" w:type="pct"/>
                  <w:shd w:val="clear" w:color="auto" w:fill="FFFFFF"/>
                  <w:vAlign w:val="center"/>
                </w:tcPr>
                <w:p>
                  <w:pPr>
                    <w:pStyle w:val="47"/>
                    <w:rPr>
                      <w:rFonts w:ascii="Times New Roman"/>
                      <w:bCs/>
                      <w:color w:val="auto"/>
                      <w:sz w:val="21"/>
                      <w:szCs w:val="21"/>
                    </w:rPr>
                  </w:pPr>
                  <w:r>
                    <w:rPr>
                      <w:rStyle w:val="45"/>
                      <w:rFonts w:hint="default" w:ascii="Times New Roman" w:hAnsi="Times New Roman" w:eastAsia="宋体" w:cs="Times New Roman"/>
                      <w:color w:val="auto"/>
                      <w:sz w:val="21"/>
                      <w:szCs w:val="21"/>
                    </w:rPr>
                    <w:t>1.0</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13</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硒</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0.01</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14</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砷</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0.05</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15</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汞</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0.0001</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16</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镉</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0.005</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17</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六价铬</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0.05</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18</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铅</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0.05</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19</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氰化物</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0.2</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20</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挥发酚</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0.005</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21</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石油类</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0.05</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22</w:t>
                  </w:r>
                </w:p>
              </w:tc>
              <w:tc>
                <w:tcPr>
                  <w:tcW w:w="138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阴离子表面活性剂</w:t>
                  </w:r>
                </w:p>
              </w:tc>
              <w:tc>
                <w:tcPr>
                  <w:tcW w:w="1576" w:type="pct"/>
                  <w:shd w:val="clear" w:color="auto" w:fill="FFFFFF"/>
                  <w:vAlign w:val="center"/>
                </w:tcPr>
                <w:p>
                  <w:pPr>
                    <w:pStyle w:val="47"/>
                    <w:rPr>
                      <w:rFonts w:ascii="Times New Roman"/>
                      <w:color w:val="auto"/>
                      <w:sz w:val="21"/>
                      <w:szCs w:val="21"/>
                    </w:rPr>
                  </w:pPr>
                  <w:r>
                    <w:rPr>
                      <w:rStyle w:val="45"/>
                      <w:rFonts w:hint="default" w:ascii="Times New Roman" w:hAnsi="Times New Roman" w:eastAsia="宋体" w:cs="Times New Roman"/>
                      <w:color w:val="auto"/>
                      <w:sz w:val="21"/>
                      <w:szCs w:val="21"/>
                    </w:rPr>
                    <w:t>0.2</w:t>
                  </w:r>
                </w:p>
              </w:tc>
              <w:tc>
                <w:tcPr>
                  <w:tcW w:w="1155" w:type="pct"/>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82" w:type="pct"/>
                  <w:shd w:val="clear" w:color="auto" w:fill="auto"/>
                  <w:vAlign w:val="center"/>
                </w:tcPr>
                <w:p>
                  <w:pPr>
                    <w:jc w:val="center"/>
                    <w:rPr>
                      <w:color w:val="auto"/>
                      <w:szCs w:val="21"/>
                    </w:rPr>
                  </w:pPr>
                  <w:r>
                    <w:rPr>
                      <w:color w:val="auto"/>
                      <w:szCs w:val="21"/>
                    </w:rPr>
                    <w:t>23</w:t>
                  </w:r>
                </w:p>
              </w:tc>
              <w:tc>
                <w:tcPr>
                  <w:tcW w:w="1386" w:type="pct"/>
                  <w:shd w:val="clear" w:color="auto" w:fill="FFFFFF"/>
                  <w:vAlign w:val="center"/>
                </w:tcPr>
                <w:p>
                  <w:pPr>
                    <w:pStyle w:val="47"/>
                    <w:rPr>
                      <w:rStyle w:val="45"/>
                      <w:rFonts w:hint="default" w:ascii="Times New Roman" w:hAnsi="Times New Roman" w:eastAsia="宋体" w:cs="Times New Roman"/>
                      <w:color w:val="auto"/>
                      <w:sz w:val="21"/>
                      <w:szCs w:val="21"/>
                    </w:rPr>
                  </w:pPr>
                  <w:r>
                    <w:rPr>
                      <w:rStyle w:val="45"/>
                      <w:rFonts w:hint="default" w:ascii="Times New Roman" w:hAnsi="Times New Roman" w:eastAsia="宋体" w:cs="Times New Roman"/>
                      <w:color w:val="auto"/>
                      <w:sz w:val="21"/>
                      <w:szCs w:val="21"/>
                    </w:rPr>
                    <w:t>硫化物</w:t>
                  </w:r>
                </w:p>
              </w:tc>
              <w:tc>
                <w:tcPr>
                  <w:tcW w:w="1576" w:type="pct"/>
                  <w:shd w:val="clear" w:color="auto" w:fill="FFFFFF"/>
                  <w:vAlign w:val="center"/>
                </w:tcPr>
                <w:p>
                  <w:pPr>
                    <w:pStyle w:val="47"/>
                    <w:rPr>
                      <w:rFonts w:ascii="Times New Roman"/>
                      <w:bCs/>
                      <w:color w:val="auto"/>
                      <w:sz w:val="21"/>
                      <w:szCs w:val="21"/>
                    </w:rPr>
                  </w:pPr>
                  <w:r>
                    <w:rPr>
                      <w:rStyle w:val="45"/>
                      <w:rFonts w:hint="default" w:ascii="Times New Roman" w:hAnsi="Times New Roman" w:eastAsia="宋体" w:cs="Times New Roman"/>
                      <w:color w:val="auto"/>
                      <w:sz w:val="21"/>
                      <w:szCs w:val="21"/>
                    </w:rPr>
                    <w:t>0.2</w:t>
                  </w:r>
                </w:p>
              </w:tc>
              <w:tc>
                <w:tcPr>
                  <w:tcW w:w="1155" w:type="pct"/>
                  <w:vMerge w:val="continue"/>
                  <w:vAlign w:val="center"/>
                </w:tcPr>
                <w:p>
                  <w:pPr>
                    <w:jc w:val="center"/>
                    <w:rPr>
                      <w:color w:val="auto"/>
                      <w:szCs w:val="21"/>
                    </w:rPr>
                  </w:pPr>
                </w:p>
              </w:tc>
            </w:tr>
          </w:tbl>
          <w:p>
            <w:pPr>
              <w:autoSpaceDE w:val="0"/>
              <w:autoSpaceDN w:val="0"/>
              <w:adjustRightInd w:val="0"/>
              <w:snapToGrid w:val="0"/>
              <w:spacing w:line="360" w:lineRule="auto"/>
              <w:rPr>
                <w:b/>
                <w:bCs/>
                <w:color w:val="auto"/>
                <w:kern w:val="0"/>
                <w:sz w:val="24"/>
              </w:rPr>
            </w:pPr>
            <w:r>
              <w:rPr>
                <w:rFonts w:hint="eastAsia"/>
                <w:b/>
                <w:bCs/>
                <w:color w:val="auto"/>
                <w:kern w:val="0"/>
                <w:sz w:val="24"/>
              </w:rPr>
              <w:t>2、</w:t>
            </w:r>
            <w:r>
              <w:rPr>
                <w:b/>
                <w:bCs/>
                <w:color w:val="auto"/>
                <w:kern w:val="0"/>
                <w:sz w:val="24"/>
              </w:rPr>
              <w:t>污染物排放标准</w:t>
            </w:r>
          </w:p>
          <w:p>
            <w:pPr>
              <w:adjustRightInd w:val="0"/>
              <w:snapToGrid w:val="0"/>
              <w:spacing w:line="360" w:lineRule="auto"/>
              <w:ind w:firstLine="482" w:firstLineChars="200"/>
              <w:jc w:val="left"/>
              <w:rPr>
                <w:b/>
                <w:bCs/>
                <w:color w:val="auto"/>
                <w:sz w:val="24"/>
              </w:rPr>
            </w:pPr>
            <w:r>
              <w:rPr>
                <w:rFonts w:hint="eastAsia" w:ascii="宋体" w:hAnsi="宋体" w:cs="宋体"/>
                <w:b/>
                <w:bCs/>
                <w:color w:val="auto"/>
                <w:sz w:val="24"/>
              </w:rPr>
              <w:t>（1）</w:t>
            </w:r>
            <w:r>
              <w:rPr>
                <w:b/>
                <w:bCs/>
                <w:color w:val="auto"/>
                <w:sz w:val="24"/>
              </w:rPr>
              <w:t>废气</w:t>
            </w:r>
          </w:p>
          <w:p>
            <w:pPr>
              <w:adjustRightInd w:val="0"/>
              <w:snapToGrid w:val="0"/>
              <w:spacing w:line="360" w:lineRule="auto"/>
              <w:ind w:firstLine="480" w:firstLineChars="200"/>
              <w:jc w:val="left"/>
              <w:rPr>
                <w:color w:val="auto"/>
                <w:sz w:val="24"/>
              </w:rPr>
            </w:pPr>
            <w:r>
              <w:rPr>
                <w:color w:val="auto"/>
                <w:sz w:val="24"/>
              </w:rPr>
              <w:t>本项目施工期扬尘执行《大气污染物综合排放标准》（GB16297-1996）表2的浓度限值，具体内容见表3-6。</w:t>
            </w:r>
          </w:p>
          <w:p>
            <w:pPr>
              <w:adjustRightInd w:val="0"/>
              <w:snapToGrid w:val="0"/>
              <w:ind w:firstLine="1031" w:firstLineChars="428"/>
              <w:rPr>
                <w:color w:val="auto"/>
                <w:sz w:val="24"/>
              </w:rPr>
            </w:pPr>
            <w:r>
              <w:rPr>
                <w:b/>
                <w:bCs/>
                <w:color w:val="auto"/>
                <w:sz w:val="24"/>
              </w:rPr>
              <w:t xml:space="preserve">表3-6   </w:t>
            </w:r>
            <w:r>
              <w:rPr>
                <w:color w:val="auto"/>
                <w:sz w:val="24"/>
              </w:rPr>
              <w:t xml:space="preserve"> </w:t>
            </w:r>
            <w:r>
              <w:rPr>
                <w:rFonts w:hint="eastAsia"/>
                <w:color w:val="auto"/>
                <w:sz w:val="24"/>
              </w:rPr>
              <w:t xml:space="preserve">   </w:t>
            </w:r>
            <w:r>
              <w:rPr>
                <w:color w:val="auto"/>
                <w:sz w:val="24"/>
              </w:rPr>
              <w:t xml:space="preserve">  </w:t>
            </w:r>
            <w:r>
              <w:rPr>
                <w:rFonts w:hint="eastAsia"/>
                <w:color w:val="auto"/>
                <w:sz w:val="24"/>
              </w:rPr>
              <w:t xml:space="preserve">     </w:t>
            </w:r>
            <w:r>
              <w:rPr>
                <w:color w:val="auto"/>
                <w:sz w:val="24"/>
              </w:rPr>
              <w:t xml:space="preserve">    </w:t>
            </w:r>
            <w:r>
              <w:rPr>
                <w:b/>
                <w:color w:val="auto"/>
                <w:sz w:val="24"/>
              </w:rPr>
              <w:t>大气污染物综合排放标准</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226"/>
              <w:gridCol w:w="44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51" w:type="pct"/>
                  <w:tcBorders>
                    <w:tl2br w:val="nil"/>
                    <w:tr2bl w:val="nil"/>
                  </w:tcBorders>
                  <w:vAlign w:val="center"/>
                </w:tcPr>
                <w:p>
                  <w:pPr>
                    <w:adjustRightInd w:val="0"/>
                    <w:snapToGrid w:val="0"/>
                    <w:jc w:val="center"/>
                    <w:rPr>
                      <w:b/>
                      <w:color w:val="auto"/>
                      <w:szCs w:val="21"/>
                    </w:rPr>
                  </w:pPr>
                  <w:r>
                    <w:rPr>
                      <w:b/>
                      <w:color w:val="auto"/>
                      <w:szCs w:val="21"/>
                    </w:rPr>
                    <w:t>污染物名称</w:t>
                  </w:r>
                </w:p>
              </w:tc>
              <w:tc>
                <w:tcPr>
                  <w:tcW w:w="1385" w:type="pct"/>
                  <w:tcBorders>
                    <w:tl2br w:val="nil"/>
                    <w:tr2bl w:val="nil"/>
                  </w:tcBorders>
                  <w:vAlign w:val="center"/>
                </w:tcPr>
                <w:p>
                  <w:pPr>
                    <w:adjustRightInd w:val="0"/>
                    <w:snapToGrid w:val="0"/>
                    <w:jc w:val="center"/>
                    <w:rPr>
                      <w:b/>
                      <w:color w:val="auto"/>
                      <w:szCs w:val="21"/>
                    </w:rPr>
                  </w:pPr>
                  <w:r>
                    <w:rPr>
                      <w:b/>
                      <w:color w:val="auto"/>
                      <w:szCs w:val="21"/>
                    </w:rPr>
                    <w:t>无组织监控浓度（</w:t>
                  </w:r>
                  <w:r>
                    <w:rPr>
                      <w:b/>
                      <w:color w:val="auto"/>
                    </w:rPr>
                    <w:t>mg/m</w:t>
                  </w:r>
                  <w:r>
                    <w:rPr>
                      <w:b/>
                      <w:color w:val="auto"/>
                      <w:vertAlign w:val="superscript"/>
                    </w:rPr>
                    <w:t>3</w:t>
                  </w:r>
                  <w:r>
                    <w:rPr>
                      <w:b/>
                      <w:color w:val="auto"/>
                      <w:szCs w:val="21"/>
                    </w:rPr>
                    <w:t>）</w:t>
                  </w:r>
                </w:p>
              </w:tc>
              <w:tc>
                <w:tcPr>
                  <w:tcW w:w="2764" w:type="pct"/>
                  <w:tcBorders>
                    <w:tl2br w:val="nil"/>
                    <w:tr2bl w:val="nil"/>
                  </w:tcBorders>
                  <w:vAlign w:val="center"/>
                </w:tcPr>
                <w:p>
                  <w:pPr>
                    <w:adjustRightInd w:val="0"/>
                    <w:snapToGrid w:val="0"/>
                    <w:jc w:val="center"/>
                    <w:rPr>
                      <w:b/>
                      <w:color w:val="auto"/>
                      <w:szCs w:val="21"/>
                    </w:rPr>
                  </w:pPr>
                  <w:r>
                    <w:rPr>
                      <w:b/>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51" w:type="pct"/>
                  <w:tcBorders>
                    <w:tl2br w:val="nil"/>
                    <w:tr2bl w:val="nil"/>
                  </w:tcBorders>
                  <w:vAlign w:val="center"/>
                </w:tcPr>
                <w:p>
                  <w:pPr>
                    <w:adjustRightInd w:val="0"/>
                    <w:snapToGrid w:val="0"/>
                    <w:jc w:val="center"/>
                    <w:rPr>
                      <w:color w:val="auto"/>
                      <w:szCs w:val="21"/>
                    </w:rPr>
                  </w:pPr>
                  <w:r>
                    <w:rPr>
                      <w:color w:val="auto"/>
                      <w:szCs w:val="21"/>
                    </w:rPr>
                    <w:t>颗粒物</w:t>
                  </w:r>
                </w:p>
              </w:tc>
              <w:tc>
                <w:tcPr>
                  <w:tcW w:w="1385" w:type="pct"/>
                  <w:tcBorders>
                    <w:tl2br w:val="nil"/>
                    <w:tr2bl w:val="nil"/>
                  </w:tcBorders>
                  <w:vAlign w:val="center"/>
                </w:tcPr>
                <w:p>
                  <w:pPr>
                    <w:adjustRightInd w:val="0"/>
                    <w:snapToGrid w:val="0"/>
                    <w:jc w:val="center"/>
                    <w:rPr>
                      <w:color w:val="auto"/>
                      <w:szCs w:val="21"/>
                    </w:rPr>
                  </w:pPr>
                  <w:r>
                    <w:rPr>
                      <w:color w:val="auto"/>
                      <w:szCs w:val="21"/>
                    </w:rPr>
                    <w:t>1.0</w:t>
                  </w:r>
                </w:p>
              </w:tc>
              <w:tc>
                <w:tcPr>
                  <w:tcW w:w="2764" w:type="pct"/>
                  <w:tcBorders>
                    <w:tl2br w:val="nil"/>
                    <w:tr2bl w:val="nil"/>
                  </w:tcBorders>
                  <w:vAlign w:val="center"/>
                </w:tcPr>
                <w:p>
                  <w:pPr>
                    <w:adjustRightInd w:val="0"/>
                    <w:snapToGrid w:val="0"/>
                    <w:jc w:val="center"/>
                    <w:rPr>
                      <w:color w:val="auto"/>
                      <w:szCs w:val="21"/>
                    </w:rPr>
                  </w:pPr>
                  <w:r>
                    <w:rPr>
                      <w:color w:val="auto"/>
                      <w:szCs w:val="21"/>
                    </w:rPr>
                    <w:t>《大气污染物综合排放标准》（GB16297-1996）</w:t>
                  </w:r>
                </w:p>
              </w:tc>
            </w:tr>
          </w:tbl>
          <w:p>
            <w:pPr>
              <w:adjustRightInd w:val="0"/>
              <w:snapToGrid w:val="0"/>
              <w:spacing w:line="360" w:lineRule="auto"/>
              <w:ind w:firstLine="482" w:firstLineChars="200"/>
              <w:jc w:val="left"/>
              <w:rPr>
                <w:b/>
                <w:bCs/>
                <w:color w:val="auto"/>
                <w:sz w:val="24"/>
              </w:rPr>
            </w:pPr>
            <w:r>
              <w:rPr>
                <w:rFonts w:hint="eastAsia" w:ascii="宋体" w:hAnsi="宋体" w:cs="宋体"/>
                <w:b/>
                <w:bCs/>
                <w:color w:val="auto"/>
                <w:sz w:val="24"/>
              </w:rPr>
              <w:t>（2）</w:t>
            </w:r>
            <w:r>
              <w:rPr>
                <w:b/>
                <w:bCs/>
                <w:color w:val="auto"/>
                <w:sz w:val="24"/>
              </w:rPr>
              <w:t>废水</w:t>
            </w:r>
          </w:p>
          <w:p>
            <w:pPr>
              <w:adjustRightInd w:val="0"/>
              <w:snapToGrid w:val="0"/>
              <w:spacing w:line="360" w:lineRule="auto"/>
              <w:ind w:firstLine="480" w:firstLineChars="200"/>
              <w:jc w:val="left"/>
              <w:rPr>
                <w:color w:val="auto"/>
                <w:sz w:val="24"/>
              </w:rPr>
            </w:pPr>
            <w:r>
              <w:rPr>
                <w:color w:val="auto"/>
                <w:sz w:val="24"/>
              </w:rPr>
              <w:t>本项目本身不产生废水，</w:t>
            </w:r>
            <w:r>
              <w:rPr>
                <w:rFonts w:hint="eastAsia"/>
                <w:color w:val="auto"/>
                <w:sz w:val="24"/>
              </w:rPr>
              <w:t>降雨</w:t>
            </w:r>
            <w:r>
              <w:rPr>
                <w:color w:val="auto"/>
                <w:sz w:val="24"/>
              </w:rPr>
              <w:t>期间</w:t>
            </w:r>
            <w:r>
              <w:rPr>
                <w:rFonts w:hint="eastAsia"/>
                <w:color w:val="auto"/>
                <w:sz w:val="24"/>
              </w:rPr>
              <w:t>项目施工区域</w:t>
            </w:r>
            <w:r>
              <w:rPr>
                <w:color w:val="auto"/>
                <w:sz w:val="24"/>
              </w:rPr>
              <w:t>内的雨水汇水经自流排到沉陷区内地势最低处设置的沉淀池，经沉淀池收集沉淀后用于本项目填充过程洒水降尘，综合利用不外排。</w:t>
            </w:r>
            <w:r>
              <w:rPr>
                <w:rFonts w:hint="eastAsia"/>
                <w:color w:val="auto"/>
                <w:sz w:val="24"/>
              </w:rPr>
              <w:t>降雨</w:t>
            </w:r>
            <w:r>
              <w:rPr>
                <w:color w:val="auto"/>
                <w:sz w:val="24"/>
              </w:rPr>
              <w:t>期间本项目场地周围雨水采取截排水措施，不进入场内。</w:t>
            </w:r>
          </w:p>
          <w:p>
            <w:pPr>
              <w:adjustRightInd w:val="0"/>
              <w:snapToGrid w:val="0"/>
              <w:spacing w:line="360" w:lineRule="auto"/>
              <w:ind w:firstLine="482" w:firstLineChars="200"/>
              <w:jc w:val="left"/>
              <w:rPr>
                <w:b/>
                <w:bCs/>
                <w:color w:val="auto"/>
                <w:sz w:val="24"/>
              </w:rPr>
            </w:pPr>
            <w:r>
              <w:rPr>
                <w:rFonts w:hint="eastAsia" w:ascii="宋体" w:hAnsi="宋体" w:cs="宋体"/>
                <w:b/>
                <w:bCs/>
                <w:color w:val="auto"/>
                <w:sz w:val="24"/>
              </w:rPr>
              <w:t>（3）</w:t>
            </w:r>
            <w:r>
              <w:rPr>
                <w:b/>
                <w:bCs/>
                <w:color w:val="auto"/>
                <w:sz w:val="24"/>
              </w:rPr>
              <w:t>噪声</w:t>
            </w:r>
          </w:p>
          <w:p>
            <w:pPr>
              <w:adjustRightInd w:val="0"/>
              <w:snapToGrid w:val="0"/>
              <w:spacing w:line="360" w:lineRule="auto"/>
              <w:ind w:firstLine="480" w:firstLineChars="200"/>
              <w:jc w:val="left"/>
              <w:rPr>
                <w:color w:val="auto"/>
                <w:sz w:val="24"/>
              </w:rPr>
            </w:pPr>
            <w:r>
              <w:rPr>
                <w:color w:val="auto"/>
                <w:sz w:val="24"/>
              </w:rPr>
              <w:t>施工期噪声执行《建筑施工场界环境噪声排放标准》(GB12523-2011)标准，标准限值详见表3</w:t>
            </w:r>
            <w:r>
              <w:rPr>
                <w:rFonts w:hint="eastAsia"/>
                <w:color w:val="auto"/>
                <w:sz w:val="24"/>
              </w:rPr>
              <w:t>-</w:t>
            </w:r>
            <w:r>
              <w:rPr>
                <w:color w:val="auto"/>
                <w:sz w:val="24"/>
              </w:rPr>
              <w:t>7。</w:t>
            </w:r>
          </w:p>
          <w:p>
            <w:pPr>
              <w:adjustRightInd w:val="0"/>
              <w:snapToGrid w:val="0"/>
              <w:spacing w:before="48" w:beforeLines="20"/>
              <w:ind w:firstLine="482"/>
              <w:rPr>
                <w:b/>
                <w:bCs/>
                <w:color w:val="auto"/>
                <w:sz w:val="24"/>
              </w:rPr>
            </w:pPr>
            <w:r>
              <w:rPr>
                <w:b/>
                <w:bCs/>
                <w:color w:val="auto"/>
                <w:sz w:val="24"/>
              </w:rPr>
              <w:t xml:space="preserve">表3-7       </w:t>
            </w:r>
            <w:r>
              <w:rPr>
                <w:rFonts w:hint="eastAsia"/>
                <w:b/>
                <w:bCs/>
                <w:color w:val="auto"/>
                <w:sz w:val="24"/>
              </w:rPr>
              <w:t xml:space="preserve"> </w:t>
            </w:r>
            <w:r>
              <w:rPr>
                <w:b/>
                <w:bCs/>
                <w:color w:val="auto"/>
                <w:sz w:val="24"/>
              </w:rPr>
              <w:t xml:space="preserve">     环境噪声排放标准             单位：dB(A)</w:t>
            </w:r>
          </w:p>
          <w:tbl>
            <w:tblPr>
              <w:tblStyle w:val="1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0"/>
              <w:gridCol w:w="1453"/>
              <w:gridCol w:w="723"/>
              <w:gridCol w:w="1030"/>
              <w:gridCol w:w="39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1" w:type="pct"/>
                  <w:vMerge w:val="restart"/>
                  <w:tcBorders>
                    <w:tl2br w:val="nil"/>
                    <w:tr2bl w:val="nil"/>
                  </w:tcBorders>
                  <w:vAlign w:val="center"/>
                </w:tcPr>
                <w:p>
                  <w:pPr>
                    <w:widowControl/>
                    <w:adjustRightInd w:val="0"/>
                    <w:snapToGrid w:val="0"/>
                    <w:jc w:val="center"/>
                    <w:rPr>
                      <w:b/>
                      <w:color w:val="auto"/>
                      <w:szCs w:val="21"/>
                    </w:rPr>
                  </w:pPr>
                  <w:r>
                    <w:rPr>
                      <w:b/>
                      <w:color w:val="auto"/>
                      <w:szCs w:val="21"/>
                    </w:rPr>
                    <w:t>阶段</w:t>
                  </w:r>
                </w:p>
              </w:tc>
              <w:tc>
                <w:tcPr>
                  <w:tcW w:w="904" w:type="pct"/>
                  <w:vMerge w:val="restart"/>
                  <w:tcBorders>
                    <w:tl2br w:val="nil"/>
                    <w:tr2bl w:val="nil"/>
                  </w:tcBorders>
                  <w:vAlign w:val="center"/>
                </w:tcPr>
                <w:p>
                  <w:pPr>
                    <w:widowControl/>
                    <w:adjustRightInd w:val="0"/>
                    <w:snapToGrid w:val="0"/>
                    <w:jc w:val="center"/>
                    <w:rPr>
                      <w:b/>
                      <w:color w:val="auto"/>
                      <w:szCs w:val="21"/>
                    </w:rPr>
                  </w:pPr>
                  <w:r>
                    <w:rPr>
                      <w:b/>
                      <w:color w:val="auto"/>
                      <w:szCs w:val="21"/>
                    </w:rPr>
                    <w:t>位置</w:t>
                  </w:r>
                </w:p>
              </w:tc>
              <w:tc>
                <w:tcPr>
                  <w:tcW w:w="1091" w:type="pct"/>
                  <w:gridSpan w:val="2"/>
                  <w:tcBorders>
                    <w:tl2br w:val="nil"/>
                    <w:tr2bl w:val="nil"/>
                  </w:tcBorders>
                  <w:vAlign w:val="center"/>
                </w:tcPr>
                <w:p>
                  <w:pPr>
                    <w:widowControl/>
                    <w:adjustRightInd w:val="0"/>
                    <w:snapToGrid w:val="0"/>
                    <w:jc w:val="center"/>
                    <w:rPr>
                      <w:b/>
                      <w:color w:val="auto"/>
                      <w:szCs w:val="21"/>
                    </w:rPr>
                  </w:pPr>
                  <w:r>
                    <w:rPr>
                      <w:b/>
                      <w:color w:val="auto"/>
                      <w:szCs w:val="21"/>
                    </w:rPr>
                    <w:t>噪声限值</w:t>
                  </w:r>
                </w:p>
              </w:tc>
              <w:tc>
                <w:tcPr>
                  <w:tcW w:w="2464" w:type="pct"/>
                  <w:vMerge w:val="restart"/>
                  <w:tcBorders>
                    <w:tl2br w:val="nil"/>
                    <w:tr2bl w:val="nil"/>
                  </w:tcBorders>
                  <w:vAlign w:val="center"/>
                </w:tcPr>
                <w:p>
                  <w:pPr>
                    <w:widowControl/>
                    <w:adjustRightInd w:val="0"/>
                    <w:snapToGrid w:val="0"/>
                    <w:jc w:val="center"/>
                    <w:rPr>
                      <w:b/>
                      <w:color w:val="auto"/>
                      <w:szCs w:val="21"/>
                    </w:rPr>
                  </w:pPr>
                  <w:r>
                    <w:rPr>
                      <w:b/>
                      <w:color w:val="auto"/>
                      <w:szCs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1" w:type="pct"/>
                  <w:vMerge w:val="continue"/>
                  <w:tcBorders>
                    <w:tl2br w:val="nil"/>
                    <w:tr2bl w:val="nil"/>
                  </w:tcBorders>
                  <w:vAlign w:val="center"/>
                </w:tcPr>
                <w:p>
                  <w:pPr>
                    <w:widowControl/>
                    <w:adjustRightInd w:val="0"/>
                    <w:snapToGrid w:val="0"/>
                    <w:jc w:val="center"/>
                    <w:rPr>
                      <w:bCs/>
                      <w:color w:val="auto"/>
                      <w:szCs w:val="21"/>
                    </w:rPr>
                  </w:pPr>
                </w:p>
              </w:tc>
              <w:tc>
                <w:tcPr>
                  <w:tcW w:w="904" w:type="pct"/>
                  <w:vMerge w:val="continue"/>
                  <w:tcBorders>
                    <w:tl2br w:val="nil"/>
                    <w:tr2bl w:val="nil"/>
                  </w:tcBorders>
                  <w:vAlign w:val="center"/>
                </w:tcPr>
                <w:p>
                  <w:pPr>
                    <w:widowControl/>
                    <w:adjustRightInd w:val="0"/>
                    <w:snapToGrid w:val="0"/>
                    <w:jc w:val="center"/>
                    <w:rPr>
                      <w:bCs/>
                      <w:color w:val="auto"/>
                      <w:szCs w:val="21"/>
                    </w:rPr>
                  </w:pPr>
                </w:p>
              </w:tc>
              <w:tc>
                <w:tcPr>
                  <w:tcW w:w="450" w:type="pct"/>
                  <w:tcBorders>
                    <w:tl2br w:val="nil"/>
                    <w:tr2bl w:val="nil"/>
                  </w:tcBorders>
                  <w:vAlign w:val="center"/>
                </w:tcPr>
                <w:p>
                  <w:pPr>
                    <w:widowControl/>
                    <w:adjustRightInd w:val="0"/>
                    <w:snapToGrid w:val="0"/>
                    <w:jc w:val="center"/>
                    <w:rPr>
                      <w:b/>
                      <w:color w:val="auto"/>
                      <w:szCs w:val="21"/>
                    </w:rPr>
                  </w:pPr>
                  <w:r>
                    <w:rPr>
                      <w:b/>
                      <w:color w:val="auto"/>
                      <w:szCs w:val="21"/>
                    </w:rPr>
                    <w:t>昼间</w:t>
                  </w:r>
                </w:p>
              </w:tc>
              <w:tc>
                <w:tcPr>
                  <w:tcW w:w="641" w:type="pct"/>
                  <w:tcBorders>
                    <w:tl2br w:val="nil"/>
                    <w:tr2bl w:val="nil"/>
                  </w:tcBorders>
                  <w:vAlign w:val="center"/>
                </w:tcPr>
                <w:p>
                  <w:pPr>
                    <w:widowControl/>
                    <w:adjustRightInd w:val="0"/>
                    <w:snapToGrid w:val="0"/>
                    <w:jc w:val="center"/>
                    <w:rPr>
                      <w:b/>
                      <w:color w:val="auto"/>
                      <w:szCs w:val="21"/>
                    </w:rPr>
                  </w:pPr>
                  <w:r>
                    <w:rPr>
                      <w:b/>
                      <w:color w:val="auto"/>
                      <w:szCs w:val="21"/>
                    </w:rPr>
                    <w:t>夜间</w:t>
                  </w:r>
                </w:p>
              </w:tc>
              <w:tc>
                <w:tcPr>
                  <w:tcW w:w="2464" w:type="pct"/>
                  <w:vMerge w:val="continue"/>
                  <w:tcBorders>
                    <w:tl2br w:val="nil"/>
                    <w:tr2bl w:val="nil"/>
                  </w:tcBorders>
                  <w:vAlign w:val="center"/>
                </w:tcPr>
                <w:p>
                  <w:pPr>
                    <w:widowControl/>
                    <w:adjustRightInd w:val="0"/>
                    <w:snapToGrid w:val="0"/>
                    <w:jc w:val="center"/>
                    <w:rPr>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1" w:type="pct"/>
                  <w:tcBorders>
                    <w:tl2br w:val="nil"/>
                    <w:tr2bl w:val="nil"/>
                  </w:tcBorders>
                  <w:vAlign w:val="center"/>
                </w:tcPr>
                <w:p>
                  <w:pPr>
                    <w:widowControl/>
                    <w:adjustRightInd w:val="0"/>
                    <w:snapToGrid w:val="0"/>
                    <w:jc w:val="center"/>
                    <w:rPr>
                      <w:bCs/>
                      <w:color w:val="auto"/>
                      <w:szCs w:val="21"/>
                    </w:rPr>
                  </w:pPr>
                  <w:r>
                    <w:rPr>
                      <w:bCs/>
                      <w:color w:val="auto"/>
                      <w:szCs w:val="21"/>
                    </w:rPr>
                    <w:t>施工期</w:t>
                  </w:r>
                </w:p>
              </w:tc>
              <w:tc>
                <w:tcPr>
                  <w:tcW w:w="904" w:type="pct"/>
                  <w:tcBorders>
                    <w:tl2br w:val="nil"/>
                    <w:tr2bl w:val="nil"/>
                  </w:tcBorders>
                  <w:vAlign w:val="center"/>
                </w:tcPr>
                <w:p>
                  <w:pPr>
                    <w:widowControl/>
                    <w:adjustRightInd w:val="0"/>
                    <w:snapToGrid w:val="0"/>
                    <w:jc w:val="center"/>
                    <w:rPr>
                      <w:bCs/>
                      <w:color w:val="auto"/>
                      <w:szCs w:val="21"/>
                    </w:rPr>
                  </w:pPr>
                  <w:r>
                    <w:rPr>
                      <w:bCs/>
                      <w:color w:val="auto"/>
                      <w:szCs w:val="21"/>
                    </w:rPr>
                    <w:t>施工场界噪声</w:t>
                  </w:r>
                </w:p>
              </w:tc>
              <w:tc>
                <w:tcPr>
                  <w:tcW w:w="450" w:type="pct"/>
                  <w:tcBorders>
                    <w:tl2br w:val="nil"/>
                    <w:tr2bl w:val="nil"/>
                  </w:tcBorders>
                  <w:vAlign w:val="center"/>
                </w:tcPr>
                <w:p>
                  <w:pPr>
                    <w:widowControl/>
                    <w:adjustRightInd w:val="0"/>
                    <w:snapToGrid w:val="0"/>
                    <w:jc w:val="center"/>
                    <w:rPr>
                      <w:bCs/>
                      <w:color w:val="auto"/>
                      <w:szCs w:val="21"/>
                    </w:rPr>
                  </w:pPr>
                  <w:r>
                    <w:rPr>
                      <w:bCs/>
                      <w:color w:val="auto"/>
                      <w:szCs w:val="21"/>
                    </w:rPr>
                    <w:t>70</w:t>
                  </w:r>
                </w:p>
              </w:tc>
              <w:tc>
                <w:tcPr>
                  <w:tcW w:w="641" w:type="pct"/>
                  <w:tcBorders>
                    <w:tl2br w:val="nil"/>
                    <w:tr2bl w:val="nil"/>
                  </w:tcBorders>
                  <w:vAlign w:val="center"/>
                </w:tcPr>
                <w:p>
                  <w:pPr>
                    <w:widowControl/>
                    <w:adjustRightInd w:val="0"/>
                    <w:snapToGrid w:val="0"/>
                    <w:jc w:val="center"/>
                    <w:rPr>
                      <w:bCs/>
                      <w:color w:val="auto"/>
                      <w:szCs w:val="21"/>
                    </w:rPr>
                  </w:pPr>
                  <w:r>
                    <w:rPr>
                      <w:bCs/>
                      <w:color w:val="auto"/>
                      <w:szCs w:val="21"/>
                    </w:rPr>
                    <w:t>55</w:t>
                  </w:r>
                </w:p>
              </w:tc>
              <w:tc>
                <w:tcPr>
                  <w:tcW w:w="2464" w:type="pct"/>
                  <w:tcBorders>
                    <w:tl2br w:val="nil"/>
                    <w:tr2bl w:val="nil"/>
                  </w:tcBorders>
                  <w:vAlign w:val="center"/>
                </w:tcPr>
                <w:p>
                  <w:pPr>
                    <w:widowControl/>
                    <w:adjustRightInd w:val="0"/>
                    <w:snapToGrid w:val="0"/>
                    <w:jc w:val="center"/>
                    <w:rPr>
                      <w:bCs/>
                      <w:color w:val="auto"/>
                      <w:szCs w:val="21"/>
                    </w:rPr>
                  </w:pPr>
                  <w:r>
                    <w:rPr>
                      <w:bCs/>
                      <w:color w:val="auto"/>
                      <w:szCs w:val="21"/>
                    </w:rPr>
                    <w:t>《建筑施工场界环境噪声排放标准》(GB12523-2011)</w:t>
                  </w:r>
                </w:p>
              </w:tc>
            </w:tr>
          </w:tbl>
          <w:p>
            <w:pPr>
              <w:adjustRightInd w:val="0"/>
              <w:snapToGrid w:val="0"/>
              <w:spacing w:line="360" w:lineRule="auto"/>
              <w:ind w:firstLine="482" w:firstLineChars="200"/>
              <w:jc w:val="left"/>
              <w:rPr>
                <w:b/>
                <w:bCs/>
                <w:color w:val="auto"/>
                <w:sz w:val="24"/>
              </w:rPr>
            </w:pPr>
            <w:r>
              <w:rPr>
                <w:rFonts w:hint="eastAsia"/>
                <w:b/>
                <w:bCs/>
                <w:color w:val="auto"/>
                <w:sz w:val="24"/>
              </w:rPr>
              <w:t>（4）</w:t>
            </w:r>
            <w:r>
              <w:rPr>
                <w:b/>
                <w:bCs/>
                <w:color w:val="auto"/>
                <w:sz w:val="24"/>
              </w:rPr>
              <w:t>固体废物</w:t>
            </w:r>
          </w:p>
          <w:p>
            <w:pPr>
              <w:adjustRightInd w:val="0"/>
              <w:snapToGrid w:val="0"/>
              <w:spacing w:line="360" w:lineRule="auto"/>
              <w:ind w:firstLine="480" w:firstLineChars="200"/>
              <w:jc w:val="left"/>
              <w:rPr>
                <w:color w:val="auto"/>
                <w:sz w:val="24"/>
              </w:rPr>
            </w:pPr>
            <w:r>
              <w:rPr>
                <w:color w:val="auto"/>
                <w:sz w:val="24"/>
              </w:rPr>
              <w:t>本项目固体废物执行《一般工业固体废物贮存和填埋污染控制标准》（GB18599-2020）的规定。</w:t>
            </w:r>
          </w:p>
          <w:p>
            <w:pPr>
              <w:autoSpaceDE w:val="0"/>
              <w:autoSpaceDN w:val="0"/>
              <w:adjustRightInd w:val="0"/>
              <w:snapToGrid w:val="0"/>
              <w:spacing w:line="360" w:lineRule="auto"/>
              <w:rPr>
                <w:b/>
                <w:bCs/>
                <w:color w:val="auto"/>
                <w:kern w:val="0"/>
                <w:sz w:val="24"/>
              </w:rPr>
            </w:pPr>
            <w:r>
              <w:rPr>
                <w:rFonts w:hint="eastAsia"/>
                <w:b/>
                <w:bCs/>
                <w:color w:val="auto"/>
                <w:kern w:val="0"/>
                <w:sz w:val="24"/>
              </w:rPr>
              <w:t>3、</w:t>
            </w:r>
            <w:r>
              <w:rPr>
                <w:b/>
                <w:bCs/>
                <w:color w:val="auto"/>
                <w:kern w:val="0"/>
                <w:sz w:val="24"/>
              </w:rPr>
              <w:t>其他标准</w:t>
            </w:r>
          </w:p>
          <w:p>
            <w:pPr>
              <w:adjustRightInd w:val="0"/>
              <w:snapToGrid w:val="0"/>
              <w:spacing w:line="360" w:lineRule="auto"/>
              <w:ind w:firstLine="480" w:firstLineChars="200"/>
              <w:jc w:val="left"/>
              <w:rPr>
                <w:color w:val="auto"/>
                <w:sz w:val="24"/>
              </w:rPr>
            </w:pPr>
            <w:r>
              <w:rPr>
                <w:color w:val="auto"/>
                <w:sz w:val="24"/>
              </w:rPr>
              <w:t>(1)《开发建设项目水土流失防治标准》（GB50434-2018）</w:t>
            </w:r>
            <w:r>
              <w:rPr>
                <w:rFonts w:hint="eastAsia"/>
                <w:color w:val="auto"/>
                <w:sz w:val="24"/>
              </w:rPr>
              <w:t>；</w:t>
            </w:r>
          </w:p>
          <w:p>
            <w:pPr>
              <w:adjustRightInd w:val="0"/>
              <w:snapToGrid w:val="0"/>
              <w:spacing w:line="360" w:lineRule="auto"/>
              <w:ind w:firstLine="480" w:firstLineChars="200"/>
              <w:jc w:val="left"/>
              <w:rPr>
                <w:color w:val="auto"/>
                <w:sz w:val="24"/>
              </w:rPr>
            </w:pPr>
            <w:r>
              <w:rPr>
                <w:color w:val="auto"/>
                <w:sz w:val="24"/>
              </w:rPr>
              <w:t>(2)《开发建设项目水土保持技术规范》（GB50433-2018）</w:t>
            </w: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904" w:type="dxa"/>
            <w:vAlign w:val="center"/>
          </w:tcPr>
          <w:p>
            <w:pPr>
              <w:adjustRightInd w:val="0"/>
              <w:snapToGrid w:val="0"/>
              <w:jc w:val="center"/>
              <w:rPr>
                <w:color w:val="auto"/>
                <w:kern w:val="0"/>
                <w:sz w:val="24"/>
              </w:rPr>
            </w:pPr>
            <w:r>
              <w:rPr>
                <w:color w:val="auto"/>
                <w:kern w:val="0"/>
                <w:sz w:val="24"/>
              </w:rPr>
              <w:t>其他</w:t>
            </w:r>
          </w:p>
        </w:tc>
        <w:tc>
          <w:tcPr>
            <w:tcW w:w="8253" w:type="dxa"/>
            <w:vAlign w:val="center"/>
          </w:tcPr>
          <w:p>
            <w:pPr>
              <w:adjustRightInd w:val="0"/>
              <w:snapToGrid w:val="0"/>
              <w:jc w:val="center"/>
              <w:rPr>
                <w:color w:val="auto"/>
                <w:kern w:val="0"/>
                <w:sz w:val="24"/>
              </w:rPr>
            </w:pPr>
            <w:r>
              <w:rPr>
                <w:color w:val="auto"/>
                <w:kern w:val="0"/>
                <w:sz w:val="24"/>
              </w:rPr>
              <w:t>无</w:t>
            </w:r>
          </w:p>
        </w:tc>
      </w:tr>
    </w:tbl>
    <w:p>
      <w:pPr>
        <w:pStyle w:val="29"/>
        <w:rPr>
          <w:rFonts w:ascii="Times New Roman" w:hAnsi="Times New Roman"/>
          <w:snapToGrid w:val="0"/>
          <w:color w:val="auto"/>
        </w:rPr>
        <w:sectPr>
          <w:pgSz w:w="11906" w:h="16838"/>
          <w:pgMar w:top="1440" w:right="1800" w:bottom="1440" w:left="1800" w:header="851" w:footer="1077" w:gutter="0"/>
          <w:cols w:space="720" w:num="1"/>
          <w:docGrid w:linePitch="312" w:charSpace="0"/>
        </w:sectPr>
      </w:pPr>
    </w:p>
    <w:p>
      <w:pPr>
        <w:adjustRightInd w:val="0"/>
        <w:snapToGrid w:val="0"/>
        <w:outlineLvl w:val="0"/>
        <w:rPr>
          <w:color w:val="auto"/>
        </w:rPr>
      </w:pPr>
      <w:r>
        <w:rPr>
          <w:b/>
          <w:color w:val="auto"/>
          <w:sz w:val="30"/>
          <w:szCs w:val="30"/>
        </w:rPr>
        <w:t>四、生态环境影响分析</w:t>
      </w:r>
    </w:p>
    <w:tbl>
      <w:tblPr>
        <w:tblStyle w:val="19"/>
        <w:tblW w:w="89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1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753" w:type="dxa"/>
            <w:tcMar>
              <w:left w:w="28" w:type="dxa"/>
              <w:right w:w="28" w:type="dxa"/>
            </w:tcMar>
            <w:vAlign w:val="center"/>
          </w:tcPr>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b/>
                <w:bCs/>
                <w:snapToGrid w:val="0"/>
                <w:color w:val="auto"/>
                <w:kern w:val="2"/>
                <w:szCs w:val="24"/>
              </w:rPr>
            </w:pPr>
            <w:r>
              <w:rPr>
                <w:rFonts w:hint="eastAsia" w:ascii="Times New Roman" w:hAnsi="Times New Roman" w:eastAsia="黑体"/>
                <w:b/>
                <w:bCs/>
                <w:snapToGrid w:val="0"/>
                <w:color w:val="auto"/>
                <w:kern w:val="2"/>
                <w:szCs w:val="24"/>
              </w:rPr>
              <w:t>4</w:t>
            </w:r>
            <w:r>
              <w:rPr>
                <w:rFonts w:ascii="Times New Roman" w:hAnsi="Times New Roman" w:eastAsia="黑体"/>
                <w:b/>
                <w:bCs/>
                <w:snapToGrid w:val="0"/>
                <w:color w:val="auto"/>
                <w:kern w:val="2"/>
                <w:szCs w:val="24"/>
              </w:rPr>
              <w:t>.1</w:t>
            </w:r>
          </w:p>
          <w:p>
            <w:pPr>
              <w:pStyle w:val="17"/>
              <w:jc w:val="center"/>
              <w:outlineLvl w:val="0"/>
              <w:rPr>
                <w:rFonts w:ascii="Times New Roman" w:hAnsi="Times New Roman"/>
                <w:b/>
                <w:bCs/>
                <w:color w:val="auto"/>
                <w:spacing w:val="10"/>
                <w:kern w:val="2"/>
                <w:szCs w:val="24"/>
              </w:rPr>
            </w:pPr>
            <w:bookmarkStart w:id="100" w:name="_Hlk49796138"/>
            <w:r>
              <w:rPr>
                <w:rFonts w:ascii="Times New Roman" w:hAnsi="Times New Roman"/>
                <w:b/>
                <w:bCs/>
                <w:color w:val="auto"/>
                <w:spacing w:val="10"/>
                <w:kern w:val="2"/>
                <w:szCs w:val="24"/>
              </w:rPr>
              <w:t>施工期生态环境影响分析</w:t>
            </w:r>
            <w:bookmarkEnd w:id="100"/>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bCs/>
                <w:color w:val="auto"/>
                <w:spacing w:val="10"/>
                <w:kern w:val="2"/>
                <w:szCs w:val="24"/>
              </w:rPr>
            </w:pPr>
            <w:r>
              <w:rPr>
                <w:rFonts w:ascii="Times New Roman" w:hAnsi="Times New Roman"/>
                <w:bCs/>
                <w:color w:val="auto"/>
                <w:spacing w:val="10"/>
                <w:kern w:val="2"/>
                <w:szCs w:val="24"/>
              </w:rPr>
              <w:t>施工期生态环境影响分析</w:t>
            </w: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r>
              <w:rPr>
                <w:rFonts w:ascii="Times New Roman" w:hAnsi="Times New Roman"/>
                <w:bCs/>
                <w:color w:val="auto"/>
                <w:spacing w:val="10"/>
                <w:kern w:val="2"/>
                <w:szCs w:val="24"/>
              </w:rPr>
              <w:t>施工期生态环境影响分析</w:t>
            </w: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r>
              <w:rPr>
                <w:rFonts w:ascii="Times New Roman" w:hAnsi="Times New Roman"/>
                <w:bCs/>
                <w:color w:val="auto"/>
                <w:spacing w:val="10"/>
                <w:kern w:val="2"/>
                <w:szCs w:val="24"/>
              </w:rPr>
              <w:t>施工期生态环境影响分析</w:t>
            </w: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r>
              <w:rPr>
                <w:rFonts w:ascii="Times New Roman" w:hAnsi="Times New Roman"/>
                <w:bCs/>
                <w:color w:val="auto"/>
                <w:spacing w:val="10"/>
                <w:kern w:val="2"/>
                <w:szCs w:val="24"/>
              </w:rPr>
              <w:t>施工期生态环境影响分析</w:t>
            </w: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eastAsia="黑体"/>
                <w:snapToGrid w:val="0"/>
                <w:color w:val="auto"/>
                <w:kern w:val="2"/>
                <w:szCs w:val="24"/>
              </w:rPr>
            </w:pPr>
          </w:p>
          <w:p>
            <w:pPr>
              <w:pStyle w:val="17"/>
              <w:jc w:val="center"/>
              <w:outlineLvl w:val="0"/>
              <w:rPr>
                <w:rFonts w:ascii="Times New Roman" w:hAnsi="Times New Roman"/>
                <w:bCs/>
                <w:color w:val="auto"/>
                <w:spacing w:val="10"/>
                <w:kern w:val="2"/>
                <w:szCs w:val="24"/>
              </w:rPr>
            </w:pPr>
            <w:r>
              <w:rPr>
                <w:rFonts w:ascii="Times New Roman" w:hAnsi="Times New Roman"/>
                <w:bCs/>
                <w:color w:val="auto"/>
                <w:spacing w:val="10"/>
                <w:kern w:val="2"/>
                <w:szCs w:val="24"/>
              </w:rPr>
              <w:t>施工期生态环境影响分析</w:t>
            </w: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center"/>
              <w:outlineLvl w:val="0"/>
              <w:rPr>
                <w:rFonts w:ascii="Times New Roman" w:hAnsi="Times New Roman"/>
                <w:bCs/>
                <w:color w:val="auto"/>
                <w:spacing w:val="10"/>
                <w:kern w:val="2"/>
                <w:szCs w:val="24"/>
              </w:rPr>
            </w:pPr>
          </w:p>
          <w:p>
            <w:pPr>
              <w:pStyle w:val="17"/>
              <w:jc w:val="both"/>
              <w:outlineLvl w:val="0"/>
              <w:rPr>
                <w:rFonts w:ascii="Times New Roman" w:hAnsi="Times New Roman"/>
                <w:bCs/>
                <w:color w:val="auto"/>
                <w:kern w:val="2"/>
                <w:szCs w:val="24"/>
              </w:rPr>
            </w:pPr>
          </w:p>
        </w:tc>
        <w:tc>
          <w:tcPr>
            <w:tcW w:w="8168" w:type="dxa"/>
          </w:tcPr>
          <w:p>
            <w:pPr>
              <w:autoSpaceDE w:val="0"/>
              <w:autoSpaceDN w:val="0"/>
              <w:adjustRightInd w:val="0"/>
              <w:spacing w:line="360" w:lineRule="auto"/>
              <w:jc w:val="left"/>
              <w:rPr>
                <w:b/>
                <w:bCs/>
                <w:color w:val="auto"/>
                <w:kern w:val="0"/>
                <w:sz w:val="24"/>
              </w:rPr>
            </w:pPr>
            <w:r>
              <w:rPr>
                <w:rFonts w:hint="eastAsia"/>
                <w:b/>
                <w:bCs/>
                <w:color w:val="auto"/>
                <w:kern w:val="0"/>
                <w:sz w:val="24"/>
              </w:rPr>
              <w:t>4</w:t>
            </w:r>
            <w:r>
              <w:rPr>
                <w:b/>
                <w:bCs/>
                <w:color w:val="auto"/>
                <w:kern w:val="0"/>
                <w:sz w:val="24"/>
              </w:rPr>
              <w:t>.1.1工艺流程</w:t>
            </w:r>
          </w:p>
          <w:p>
            <w:pPr>
              <w:adjustRightInd w:val="0"/>
              <w:snapToGrid w:val="0"/>
              <w:spacing w:line="360" w:lineRule="auto"/>
              <w:ind w:firstLine="480" w:firstLineChars="200"/>
              <w:jc w:val="left"/>
              <w:rPr>
                <w:rFonts w:ascii="宋体" w:hAnsi="宋体"/>
                <w:color w:val="auto"/>
                <w:sz w:val="24"/>
              </w:rPr>
            </w:pPr>
            <w:r>
              <w:rPr>
                <w:color w:val="auto"/>
                <w:sz w:val="24"/>
              </w:rPr>
              <mc:AlternateContent>
                <mc:Choice Requires="wpg">
                  <w:drawing>
                    <wp:anchor distT="0" distB="0" distL="114300" distR="114300" simplePos="0" relativeHeight="251659264" behindDoc="0" locked="0" layoutInCell="1" allowOverlap="1">
                      <wp:simplePos x="0" y="0"/>
                      <wp:positionH relativeFrom="column">
                        <wp:posOffset>156845</wp:posOffset>
                      </wp:positionH>
                      <wp:positionV relativeFrom="paragraph">
                        <wp:posOffset>522605</wp:posOffset>
                      </wp:positionV>
                      <wp:extent cx="4608830" cy="3228340"/>
                      <wp:effectExtent l="4445" t="4445" r="15875" b="5715"/>
                      <wp:wrapNone/>
                      <wp:docPr id="54" name="组合 54"/>
                      <wp:cNvGraphicFramePr/>
                      <a:graphic xmlns:a="http://schemas.openxmlformats.org/drawingml/2006/main">
                        <a:graphicData uri="http://schemas.microsoft.com/office/word/2010/wordprocessingGroup">
                          <wpg:wgp>
                            <wpg:cNvGrpSpPr/>
                            <wpg:grpSpPr>
                              <a:xfrm>
                                <a:off x="0" y="0"/>
                                <a:ext cx="4608830" cy="3228340"/>
                                <a:chOff x="3020" y="617274"/>
                                <a:chExt cx="7258" cy="5084"/>
                              </a:xfrm>
                            </wpg:grpSpPr>
                            <wps:wsp>
                              <wps:cNvPr id="55" name="文本框 1"/>
                              <wps:cNvSpPr txBox="1"/>
                              <wps:spPr>
                                <a:xfrm>
                                  <a:off x="5179" y="617425"/>
                                  <a:ext cx="1380"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土石方开挖</w:t>
                                    </w:r>
                                  </w:p>
                                </w:txbxContent>
                              </wps:txbx>
                              <wps:bodyPr upright="1"/>
                            </wps:wsp>
                            <wps:wsp>
                              <wps:cNvPr id="56" name="文本框 2"/>
                              <wps:cNvSpPr txBox="1"/>
                              <wps:spPr>
                                <a:xfrm>
                                  <a:off x="5209" y="619480"/>
                                  <a:ext cx="1380"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浆砌石施工</w:t>
                                    </w:r>
                                  </w:p>
                                </w:txbxContent>
                              </wps:txbx>
                              <wps:bodyPr upright="1"/>
                            </wps:wsp>
                            <wps:wsp>
                              <wps:cNvPr id="57" name="文本框 3"/>
                              <wps:cNvSpPr txBox="1"/>
                              <wps:spPr>
                                <a:xfrm>
                                  <a:off x="5194" y="618415"/>
                                  <a:ext cx="1380"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混凝土施工</w:t>
                                    </w:r>
                                  </w:p>
                                </w:txbxContent>
                              </wps:txbx>
                              <wps:bodyPr upright="1"/>
                            </wps:wsp>
                            <wps:wsp>
                              <wps:cNvPr id="58" name="直接连接符 4"/>
                              <wps:cNvCnPr/>
                              <wps:spPr>
                                <a:xfrm>
                                  <a:off x="5869" y="617890"/>
                                  <a:ext cx="1" cy="510"/>
                                </a:xfrm>
                                <a:prstGeom prst="line">
                                  <a:avLst/>
                                </a:prstGeom>
                                <a:ln w="9525" cap="flat" cmpd="sng">
                                  <a:solidFill>
                                    <a:srgbClr val="000000"/>
                                  </a:solidFill>
                                  <a:prstDash val="solid"/>
                                  <a:headEnd type="none" w="med" len="med"/>
                                  <a:tailEnd type="triangle" w="med" len="med"/>
                                </a:ln>
                              </wps:spPr>
                              <wps:bodyPr/>
                            </wps:wsp>
                            <wps:wsp>
                              <wps:cNvPr id="59" name="直接连接符 5"/>
                              <wps:cNvCnPr/>
                              <wps:spPr>
                                <a:xfrm flipH="1">
                                  <a:off x="5825" y="618880"/>
                                  <a:ext cx="14" cy="600"/>
                                </a:xfrm>
                                <a:prstGeom prst="line">
                                  <a:avLst/>
                                </a:prstGeom>
                                <a:ln w="9525" cap="flat" cmpd="sng">
                                  <a:solidFill>
                                    <a:srgbClr val="000000"/>
                                  </a:solidFill>
                                  <a:prstDash val="solid"/>
                                  <a:headEnd type="none" w="med" len="med"/>
                                  <a:tailEnd type="triangle" w="med" len="med"/>
                                </a:ln>
                              </wps:spPr>
                              <wps:bodyPr/>
                            </wps:wsp>
                            <wps:wsp>
                              <wps:cNvPr id="60" name="直接连接符 6"/>
                              <wps:cNvCnPr/>
                              <wps:spPr>
                                <a:xfrm flipH="1">
                                  <a:off x="5840" y="621040"/>
                                  <a:ext cx="14" cy="600"/>
                                </a:xfrm>
                                <a:prstGeom prst="line">
                                  <a:avLst/>
                                </a:prstGeom>
                                <a:ln w="9525" cap="flat" cmpd="sng">
                                  <a:solidFill>
                                    <a:srgbClr val="000000"/>
                                  </a:solidFill>
                                  <a:prstDash val="solid"/>
                                  <a:headEnd type="none" w="med" len="med"/>
                                  <a:tailEnd type="triangle" w="med" len="med"/>
                                </a:ln>
                              </wps:spPr>
                              <wps:bodyPr/>
                            </wps:wsp>
                            <wps:wsp>
                              <wps:cNvPr id="61" name="直接连接符 7"/>
                              <wps:cNvCnPr/>
                              <wps:spPr>
                                <a:xfrm flipH="1">
                                  <a:off x="5870" y="619960"/>
                                  <a:ext cx="14" cy="600"/>
                                </a:xfrm>
                                <a:prstGeom prst="line">
                                  <a:avLst/>
                                </a:prstGeom>
                                <a:ln w="9525" cap="flat" cmpd="sng">
                                  <a:solidFill>
                                    <a:srgbClr val="000000"/>
                                  </a:solidFill>
                                  <a:prstDash val="solid"/>
                                  <a:headEnd type="none" w="med" len="med"/>
                                  <a:tailEnd type="triangle" w="med" len="med"/>
                                </a:ln>
                              </wps:spPr>
                              <wps:bodyPr/>
                            </wps:wsp>
                            <wps:wsp>
                              <wps:cNvPr id="62" name="文本框 8"/>
                              <wps:cNvSpPr txBox="1"/>
                              <wps:spPr>
                                <a:xfrm>
                                  <a:off x="4834" y="620545"/>
                                  <a:ext cx="2113"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作业区覆土、平整</w:t>
                                    </w:r>
                                  </w:p>
                                </w:txbxContent>
                              </wps:txbx>
                              <wps:bodyPr upright="1"/>
                            </wps:wsp>
                            <wps:wsp>
                              <wps:cNvPr id="63" name="文本框 9"/>
                              <wps:cNvSpPr txBox="1"/>
                              <wps:spPr>
                                <a:xfrm>
                                  <a:off x="5209" y="621625"/>
                                  <a:ext cx="1380"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矸石场绿化</w:t>
                                    </w:r>
                                  </w:p>
                                </w:txbxContent>
                              </wps:txbx>
                              <wps:bodyPr upright="1"/>
                            </wps:wsp>
                            <wps:wsp>
                              <wps:cNvPr id="64" name="文本框 10"/>
                              <wps:cNvSpPr txBox="1"/>
                              <wps:spPr>
                                <a:xfrm>
                                  <a:off x="7324" y="617410"/>
                                  <a:ext cx="1979" cy="465"/>
                                </a:xfrm>
                                <a:prstGeom prst="rect">
                                  <a:avLst/>
                                </a:prstGeom>
                                <a:noFill/>
                                <a:ln>
                                  <a:noFill/>
                                </a:ln>
                              </wps:spPr>
                              <wps:txbx>
                                <w:txbxContent>
                                  <w:p>
                                    <w:r>
                                      <w:rPr>
                                        <w:rFonts w:hint="eastAsia"/>
                                      </w:rPr>
                                      <w:t>扬尘、噪声、固废</w:t>
                                    </w:r>
                                  </w:p>
                                </w:txbxContent>
                              </wps:txbx>
                              <wps:bodyPr upright="1"/>
                            </wps:wsp>
                            <wps:wsp>
                              <wps:cNvPr id="65" name="直接连接符 11"/>
                              <wps:cNvCnPr/>
                              <wps:spPr>
                                <a:xfrm>
                                  <a:off x="6559" y="617664"/>
                                  <a:ext cx="825" cy="1"/>
                                </a:xfrm>
                                <a:prstGeom prst="line">
                                  <a:avLst/>
                                </a:prstGeom>
                                <a:ln w="9525" cap="flat" cmpd="sng">
                                  <a:solidFill>
                                    <a:srgbClr val="000000"/>
                                  </a:solidFill>
                                  <a:prstDash val="dash"/>
                                  <a:headEnd type="none" w="med" len="med"/>
                                  <a:tailEnd type="triangle" w="med" len="med"/>
                                </a:ln>
                              </wps:spPr>
                              <wps:bodyPr/>
                            </wps:wsp>
                            <wps:wsp>
                              <wps:cNvPr id="66" name="直接连接符 12"/>
                              <wps:cNvCnPr/>
                              <wps:spPr>
                                <a:xfrm>
                                  <a:off x="6589" y="618639"/>
                                  <a:ext cx="825" cy="1"/>
                                </a:xfrm>
                                <a:prstGeom prst="line">
                                  <a:avLst/>
                                </a:prstGeom>
                                <a:ln w="9525" cap="flat" cmpd="sng">
                                  <a:solidFill>
                                    <a:srgbClr val="000000"/>
                                  </a:solidFill>
                                  <a:prstDash val="dash"/>
                                  <a:headEnd type="none" w="med" len="med"/>
                                  <a:tailEnd type="triangle" w="med" len="med"/>
                                </a:ln>
                              </wps:spPr>
                              <wps:bodyPr/>
                            </wps:wsp>
                            <wps:wsp>
                              <wps:cNvPr id="67" name="直接连接符 13"/>
                              <wps:cNvCnPr/>
                              <wps:spPr>
                                <a:xfrm>
                                  <a:off x="6604" y="619704"/>
                                  <a:ext cx="825" cy="1"/>
                                </a:xfrm>
                                <a:prstGeom prst="line">
                                  <a:avLst/>
                                </a:prstGeom>
                                <a:ln w="9525" cap="flat" cmpd="sng">
                                  <a:solidFill>
                                    <a:srgbClr val="000000"/>
                                  </a:solidFill>
                                  <a:prstDash val="dash"/>
                                  <a:headEnd type="none" w="med" len="med"/>
                                  <a:tailEnd type="triangle" w="med" len="med"/>
                                </a:ln>
                              </wps:spPr>
                              <wps:bodyPr/>
                            </wps:wsp>
                            <wps:wsp>
                              <wps:cNvPr id="68" name="直接连接符 14"/>
                              <wps:cNvCnPr/>
                              <wps:spPr>
                                <a:xfrm>
                                  <a:off x="6949" y="620784"/>
                                  <a:ext cx="825" cy="1"/>
                                </a:xfrm>
                                <a:prstGeom prst="line">
                                  <a:avLst/>
                                </a:prstGeom>
                                <a:ln w="9525" cap="flat" cmpd="sng">
                                  <a:solidFill>
                                    <a:srgbClr val="000000"/>
                                  </a:solidFill>
                                  <a:prstDash val="dash"/>
                                  <a:headEnd type="none" w="med" len="med"/>
                                  <a:tailEnd type="triangle" w="med" len="med"/>
                                </a:ln>
                              </wps:spPr>
                              <wps:bodyPr/>
                            </wps:wsp>
                            <wps:wsp>
                              <wps:cNvPr id="69" name="文本框 15"/>
                              <wps:cNvSpPr txBox="1"/>
                              <wps:spPr>
                                <a:xfrm>
                                  <a:off x="7384" y="618400"/>
                                  <a:ext cx="1499" cy="465"/>
                                </a:xfrm>
                                <a:prstGeom prst="rect">
                                  <a:avLst/>
                                </a:prstGeom>
                                <a:noFill/>
                                <a:ln>
                                  <a:noFill/>
                                </a:ln>
                              </wps:spPr>
                              <wps:txbx>
                                <w:txbxContent>
                                  <w:p>
                                    <w:r>
                                      <w:rPr>
                                        <w:rFonts w:hint="eastAsia"/>
                                      </w:rPr>
                                      <w:t>扬尘、噪声</w:t>
                                    </w:r>
                                  </w:p>
                                </w:txbxContent>
                              </wps:txbx>
                              <wps:bodyPr upright="1"/>
                            </wps:wsp>
                            <wps:wsp>
                              <wps:cNvPr id="71" name="文本框 16"/>
                              <wps:cNvSpPr txBox="1"/>
                              <wps:spPr>
                                <a:xfrm>
                                  <a:off x="7444" y="619480"/>
                                  <a:ext cx="2504" cy="465"/>
                                </a:xfrm>
                                <a:prstGeom prst="rect">
                                  <a:avLst/>
                                </a:prstGeom>
                                <a:noFill/>
                                <a:ln>
                                  <a:noFill/>
                                </a:ln>
                              </wps:spPr>
                              <wps:txbx>
                                <w:txbxContent>
                                  <w:p>
                                    <w:r>
                                      <w:rPr>
                                        <w:rFonts w:hint="eastAsia"/>
                                      </w:rPr>
                                      <w:t>噪声、固废</w:t>
                                    </w:r>
                                  </w:p>
                                </w:txbxContent>
                              </wps:txbx>
                              <wps:bodyPr upright="1"/>
                            </wps:wsp>
                            <wps:wsp>
                              <wps:cNvPr id="72" name="文本框 17"/>
                              <wps:cNvSpPr txBox="1"/>
                              <wps:spPr>
                                <a:xfrm>
                                  <a:off x="7729" y="620560"/>
                                  <a:ext cx="1994" cy="465"/>
                                </a:xfrm>
                                <a:prstGeom prst="rect">
                                  <a:avLst/>
                                </a:prstGeom>
                                <a:noFill/>
                                <a:ln>
                                  <a:noFill/>
                                </a:ln>
                              </wps:spPr>
                              <wps:txbx>
                                <w:txbxContent>
                                  <w:p>
                                    <w:r>
                                      <w:rPr>
                                        <w:rFonts w:hint="eastAsia"/>
                                      </w:rPr>
                                      <w:t>扬尘、噪声</w:t>
                                    </w:r>
                                  </w:p>
                                </w:txbxContent>
                              </wps:txbx>
                              <wps:bodyPr upright="1"/>
                            </wps:wsp>
                            <wps:wsp>
                              <wps:cNvPr id="73" name="矩形 18"/>
                              <wps:cNvSpPr/>
                              <wps:spPr>
                                <a:xfrm>
                                  <a:off x="3020" y="617274"/>
                                  <a:ext cx="7259" cy="5085"/>
                                </a:xfrm>
                                <a:prstGeom prst="rect">
                                  <a:avLst/>
                                </a:prstGeom>
                                <a:noFill/>
                                <a:ln w="9525" cap="flat" cmpd="sng">
                                  <a:solidFill>
                                    <a:srgbClr val="948A54"/>
                                  </a:solidFill>
                                  <a:prstDash val="dash"/>
                                  <a:miter/>
                                  <a:headEnd type="none" w="med" len="med"/>
                                  <a:tailEnd type="none" w="med" len="med"/>
                                </a:ln>
                              </wps:spPr>
                              <wps:bodyPr upright="1"/>
                            </wps:wsp>
                          </wpg:wgp>
                        </a:graphicData>
                      </a:graphic>
                    </wp:anchor>
                  </w:drawing>
                </mc:Choice>
                <mc:Fallback>
                  <w:pict>
                    <v:group id="_x0000_s1026" o:spid="_x0000_s1026" o:spt="203" style="position:absolute;left:0pt;margin-left:12.35pt;margin-top:41.15pt;height:254.2pt;width:362.9pt;z-index:251659264;mso-width-relative:page;mso-height-relative:page;" coordorigin="3020,617274" coordsize="7258,5084" o:gfxdata="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L+HKgLaAAAACQEAAA8AAAAAAAAAAQAgAAAAIgAAAGRycy9k&#10;b3ducmV2LnhtbFBLAQIUABQAAAAIAIdO4kBO/3RKHgUAALAmAAAOAAAAAAAAAAEAIAAAACkBAABk&#10;cnMvZTJvRG9jLnhtbFBLBQYAAAAABgAGAFkBAAC5CAAAAAA=&#10;">
                      <o:lock v:ext="edit" aspectratio="f"/>
                      <v:shape id="文本框 1" o:spid="_x0000_s1026" o:spt="202" type="#_x0000_t202" style="position:absolute;left:5179;top:617425;height:465;width:1380;"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土石方开挖</w:t>
                              </w:r>
                            </w:p>
                          </w:txbxContent>
                        </v:textbox>
                      </v:shape>
                      <v:shape id="文本框 2" o:spid="_x0000_s1026" o:spt="202" type="#_x0000_t202" style="position:absolute;left:5209;top:619480;height:465;width:1380;"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浆砌石施工</w:t>
                              </w:r>
                            </w:p>
                          </w:txbxContent>
                        </v:textbox>
                      </v:shape>
                      <v:shape id="文本框 3" o:spid="_x0000_s1026" o:spt="202" type="#_x0000_t202" style="position:absolute;left:5194;top:618415;height:465;width:1380;" fillcolor="#FFFFFF" filled="t" stroked="t" coordsize="21600,21600" o:gfxdata="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5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混凝土施工</w:t>
                              </w:r>
                            </w:p>
                          </w:txbxContent>
                        </v:textbox>
                      </v:shape>
                      <v:line id="直接连接符 4" o:spid="_x0000_s1026" o:spt="20" style="position:absolute;left:5869;top:617890;height:510;width:1;"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5" o:spid="_x0000_s1026" o:spt="20" style="position:absolute;left:5825;top:618880;flip:x;height:600;width:14;" filled="f" stroked="t" coordsize="21600,21600" o:gfxdata="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LKK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5840;top:621040;flip:x;height:600;width:14;" filled="f" stroked="t" coordsize="21600,21600" o:gfxdata="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0qQ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 o:spid="_x0000_s1026" o:spt="20" style="position:absolute;left:5870;top:619960;flip:x;height:600;width:14;" filled="f" stroked="t" coordsize="21600,21600" o:gfxdata="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gMk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8" o:spid="_x0000_s1026" o:spt="202" type="#_x0000_t202" style="position:absolute;left:4834;top:620545;height:465;width:2113;"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作业区覆土、平整</w:t>
                              </w:r>
                            </w:p>
                          </w:txbxContent>
                        </v:textbox>
                      </v:shape>
                      <v:shape id="文本框 9" o:spid="_x0000_s1026" o:spt="202" type="#_x0000_t202" style="position:absolute;left:5209;top:621625;height:465;width:1380;"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矸石场绿化</w:t>
                              </w:r>
                            </w:p>
                          </w:txbxContent>
                        </v:textbox>
                      </v:shape>
                      <v:shape id="文本框 10" o:spid="_x0000_s1026" o:spt="202" type="#_x0000_t202" style="position:absolute;left:7324;top:617410;height:465;width:1979;" filled="f" stroked="f" coordsize="21600,21600" o:gfxdata="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vO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扬尘、噪声、固废</w:t>
                              </w:r>
                            </w:p>
                          </w:txbxContent>
                        </v:textbox>
                      </v:shape>
                      <v:line id="直接连接符 11" o:spid="_x0000_s1026" o:spt="20" style="position:absolute;left:6559;top:617664;height:1;width:825;" filled="f" stroked="t" coordsize="21600,21600" o:gfxdata="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GU5S/&#10;AAAA2w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line id="直接连接符 12" o:spid="_x0000_s1026" o:spt="20" style="position:absolute;left:6589;top:618639;height:1;width:825;" filled="f" stroked="t" coordsize="21600,21600" o:gfxdata="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UzeO/&#10;AAAA2w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line id="直接连接符 13" o:spid="_x0000_s1026" o:spt="20" style="position:absolute;left:6604;top:619704;height:1;width:825;" filled="f" stroked="t" coordsize="21600,21600" o:gfxdata="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WGh4&#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接连接符 14" o:spid="_x0000_s1026" o:spt="20" style="position:absolute;left:6949;top:620784;height:1;width:825;" filled="f" stroked="t" coordsize="21600,21600" o:gfxdata="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H/Aq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shape id="文本框 15" o:spid="_x0000_s1026" o:spt="202" type="#_x0000_t202" style="position:absolute;left:7384;top:618400;height:465;width:1499;"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扬尘、噪声</w:t>
                              </w:r>
                            </w:p>
                          </w:txbxContent>
                        </v:textbox>
                      </v:shape>
                      <v:shape id="文本框 16" o:spid="_x0000_s1026" o:spt="202" type="#_x0000_t202" style="position:absolute;left:7444;top:619480;height:465;width:2504;" filled="f" stroked="f" coordsize="21600,21600" o:gfxdata="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Mb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噪声、固废</w:t>
                              </w:r>
                            </w:p>
                          </w:txbxContent>
                        </v:textbox>
                      </v:shape>
                      <v:shape id="文本框 17" o:spid="_x0000_s1026" o:spt="202" type="#_x0000_t202" style="position:absolute;left:7729;top:620560;height:465;width:1994;"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扬尘、噪声</w:t>
                              </w:r>
                            </w:p>
                          </w:txbxContent>
                        </v:textbox>
                      </v:shape>
                      <v:rect id="矩形 18" o:spid="_x0000_s1026" o:spt="1" style="position:absolute;left:3020;top:617274;height:5085;width:7259;" filled="f" stroked="t" coordsize="21600,21600" o:gfxdata="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2A32/&#10;AAAA2wAAAA8AAAAAAAAAAQAgAAAAIgAAAGRycy9kb3ducmV2LnhtbFBLAQIUABQAAAAIAIdO4kAz&#10;LwWeOwAAADkAAAAQAAAAAAAAAAEAIAAAAA4BAABkcnMvc2hhcGV4bWwueG1sUEsFBgAAAAAGAAYA&#10;WwEAALgDAAAAAA==&#10;">
                        <v:fill on="f" focussize="0,0"/>
                        <v:stroke color="#948A54" joinstyle="miter" dashstyle="dash"/>
                        <v:imagedata o:title=""/>
                        <o:lock v:ext="edit" aspectratio="f"/>
                      </v:rect>
                    </v:group>
                  </w:pict>
                </mc:Fallback>
              </mc:AlternateContent>
            </w:r>
            <w:r>
              <w:rPr>
                <w:rFonts w:ascii="宋体" w:hAnsi="宋体"/>
                <w:color w:val="auto"/>
                <w:sz w:val="24"/>
              </w:rPr>
              <w:t>根据调查，施工期主要施工内容包括</w:t>
            </w:r>
            <w:r>
              <w:rPr>
                <w:rFonts w:hint="eastAsia" w:ascii="宋体" w:hAnsi="宋体"/>
                <w:color w:val="auto"/>
                <w:sz w:val="24"/>
              </w:rPr>
              <w:t>对煤矿矸石场局部开挖以及</w:t>
            </w:r>
            <w:r>
              <w:rPr>
                <w:rFonts w:ascii="宋体" w:hAnsi="宋体"/>
                <w:color w:val="auto"/>
                <w:sz w:val="24"/>
              </w:rPr>
              <w:t>排水系统修筑等，无临时占地。施工期工艺流程及产污环节见图4-1。</w:t>
            </w: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482" w:firstLineChars="200"/>
              <w:rPr>
                <w:rFonts w:ascii="宋体" w:hAnsi="宋体"/>
                <w:b/>
                <w:color w:val="auto"/>
                <w:sz w:val="24"/>
              </w:rPr>
            </w:pPr>
          </w:p>
          <w:p>
            <w:pPr>
              <w:adjustRightInd w:val="0"/>
              <w:snapToGrid w:val="0"/>
              <w:spacing w:line="360" w:lineRule="auto"/>
              <w:ind w:firstLine="964" w:firstLineChars="400"/>
              <w:rPr>
                <w:rFonts w:ascii="宋体" w:hAnsi="宋体"/>
                <w:b/>
                <w:color w:val="auto"/>
                <w:sz w:val="24"/>
              </w:rPr>
            </w:pPr>
            <w:r>
              <w:rPr>
                <w:rFonts w:ascii="宋体" w:hAnsi="宋体"/>
                <w:b/>
                <w:color w:val="auto"/>
                <w:sz w:val="24"/>
              </w:rPr>
              <w:t xml:space="preserve">图4-1  </w:t>
            </w:r>
            <w:r>
              <w:rPr>
                <w:rFonts w:ascii="宋体" w:hAnsi="宋体"/>
                <w:color w:val="auto"/>
                <w:sz w:val="24"/>
              </w:rPr>
              <w:t xml:space="preserve">         </w:t>
            </w:r>
            <w:r>
              <w:rPr>
                <w:rFonts w:ascii="宋体" w:hAnsi="宋体"/>
                <w:b/>
                <w:color w:val="auto"/>
                <w:sz w:val="24"/>
              </w:rPr>
              <w:t>施工期工艺流程及产污环节图</w:t>
            </w:r>
          </w:p>
          <w:p>
            <w:pPr>
              <w:adjustRightInd w:val="0"/>
              <w:snapToGrid w:val="0"/>
              <w:spacing w:line="360" w:lineRule="auto"/>
              <w:ind w:firstLine="480" w:firstLineChars="200"/>
              <w:jc w:val="left"/>
              <w:rPr>
                <w:color w:val="auto"/>
                <w:sz w:val="24"/>
              </w:rPr>
            </w:pPr>
            <w:bookmarkStart w:id="101" w:name="_Hlk6815894"/>
            <w:r>
              <w:rPr>
                <w:color w:val="auto"/>
                <w:sz w:val="24"/>
              </w:rPr>
              <w:t>施工期废气主要为无组织排放的施工扬尘及施工机械尾气，废水为施工废水和施工人员生活污水，噪声为各类施工机械设备和运输车辆产生，固废主要为开挖的土石方和施工人员生活垃圾，生态影响主要是沟道整理过程中的影响。</w:t>
            </w:r>
          </w:p>
          <w:bookmarkEnd w:id="101"/>
          <w:p>
            <w:pPr>
              <w:pStyle w:val="29"/>
              <w:spacing w:line="336" w:lineRule="auto"/>
              <w:ind w:firstLine="0" w:firstLineChars="0"/>
              <w:rPr>
                <w:rFonts w:ascii="Times New Roman" w:hAnsi="Times New Roman"/>
                <w:b/>
                <w:bCs w:val="0"/>
                <w:snapToGrid w:val="0"/>
                <w:color w:val="auto"/>
              </w:rPr>
            </w:pPr>
            <w:r>
              <w:rPr>
                <w:rFonts w:hint="eastAsia" w:ascii="Times New Roman" w:hAnsi="Times New Roman"/>
                <w:b/>
                <w:bCs w:val="0"/>
                <w:snapToGrid w:val="0"/>
                <w:color w:val="auto"/>
              </w:rPr>
              <w:t>4</w:t>
            </w:r>
            <w:r>
              <w:rPr>
                <w:rFonts w:ascii="Times New Roman" w:hAnsi="Times New Roman"/>
                <w:b/>
                <w:bCs w:val="0"/>
                <w:snapToGrid w:val="0"/>
                <w:color w:val="auto"/>
              </w:rPr>
              <w:t>.1.2施工期污染源分析</w:t>
            </w:r>
          </w:p>
          <w:p>
            <w:pPr>
              <w:widowControl/>
              <w:spacing w:line="360" w:lineRule="auto"/>
              <w:ind w:firstLine="482" w:firstLineChars="200"/>
              <w:rPr>
                <w:b/>
                <w:bCs/>
                <w:color w:val="auto"/>
                <w:sz w:val="24"/>
              </w:rPr>
            </w:pPr>
            <w:r>
              <w:rPr>
                <w:b/>
                <w:bCs/>
                <w:color w:val="auto"/>
                <w:sz w:val="24"/>
              </w:rPr>
              <w:t>1、施工废气</w:t>
            </w:r>
          </w:p>
          <w:p>
            <w:pPr>
              <w:pStyle w:val="29"/>
              <w:adjustRightInd w:val="0"/>
              <w:snapToGrid w:val="0"/>
              <w:rPr>
                <w:rFonts w:ascii="Times New Roman" w:hAnsi="Times New Roman"/>
                <w:color w:val="auto"/>
              </w:rPr>
            </w:pPr>
            <w:r>
              <w:rPr>
                <w:rFonts w:ascii="Times New Roman" w:hAnsi="Times New Roman"/>
                <w:color w:val="auto"/>
              </w:rPr>
              <w:t>项目施工期废气主要为施工开挖、施工材料运输装卸扬尘、施工车辆和设备产生的尾气。</w:t>
            </w:r>
          </w:p>
          <w:p>
            <w:pPr>
              <w:pStyle w:val="29"/>
              <w:adjustRightInd w:val="0"/>
              <w:snapToGrid w:val="0"/>
              <w:rPr>
                <w:rFonts w:ascii="Times New Roman" w:hAnsi="Times New Roman"/>
                <w:color w:val="auto"/>
              </w:rPr>
            </w:pPr>
            <w:r>
              <w:rPr>
                <w:rFonts w:ascii="Times New Roman" w:hAnsi="Times New Roman"/>
                <w:color w:val="auto"/>
              </w:rPr>
              <w:t>⑴施工扬尘</w:t>
            </w:r>
          </w:p>
          <w:p>
            <w:pPr>
              <w:pStyle w:val="29"/>
              <w:adjustRightInd w:val="0"/>
              <w:snapToGrid w:val="0"/>
              <w:rPr>
                <w:rFonts w:ascii="Times New Roman" w:hAnsi="Times New Roman"/>
                <w:color w:val="auto"/>
              </w:rPr>
            </w:pPr>
            <w:r>
              <w:rPr>
                <w:rFonts w:ascii="Times New Roman" w:hAnsi="Times New Roman"/>
                <w:color w:val="auto"/>
              </w:rPr>
              <w:t>现有施工开挖、岸坡平整、施工材料运输装卸等过程均会产生扬尘。</w:t>
            </w:r>
          </w:p>
          <w:p>
            <w:pPr>
              <w:pStyle w:val="29"/>
              <w:adjustRightInd w:val="0"/>
              <w:snapToGrid w:val="0"/>
              <w:rPr>
                <w:rFonts w:ascii="Times New Roman" w:hAnsi="Times New Roman"/>
                <w:color w:val="auto"/>
              </w:rPr>
            </w:pPr>
            <w:r>
              <w:rPr>
                <w:rFonts w:ascii="Times New Roman" w:hAnsi="Times New Roman"/>
                <w:color w:val="auto"/>
              </w:rPr>
              <w:t>①施工扬尘</w:t>
            </w:r>
          </w:p>
          <w:p>
            <w:pPr>
              <w:pStyle w:val="29"/>
              <w:adjustRightInd w:val="0"/>
              <w:snapToGrid w:val="0"/>
              <w:rPr>
                <w:rFonts w:ascii="Times New Roman" w:hAnsi="Times New Roman"/>
                <w:snapToGrid w:val="0"/>
                <w:color w:val="auto"/>
              </w:rPr>
            </w:pPr>
            <w:r>
              <w:rPr>
                <w:rFonts w:ascii="Times New Roman" w:hAnsi="Times New Roman"/>
                <w:color w:val="auto"/>
              </w:rPr>
              <w:t>施工期各个施工环节均有扬尘产生，主要有以下几个方面：施工运输车辆在装、卸、运送沙石、水泥等建筑材料过程中抛洒造成的沙土、扬尘；施工现场建筑材料堆放，刮风引起的扬尘等。概括为露天堆场的风力扬尘和车辆行驶的动力起尘。在气候干燥又有风的情况下，施工扬尘起尘量采用下式计算：</w:t>
            </w:r>
          </w:p>
          <w:p>
            <w:pPr>
              <w:pStyle w:val="24"/>
              <w:adjustRightInd w:val="0"/>
              <w:snapToGrid w:val="0"/>
              <w:ind w:firstLine="1200" w:firstLineChars="500"/>
              <w:rPr>
                <w:color w:val="auto"/>
              </w:rPr>
            </w:pPr>
            <w:r>
              <w:rPr>
                <w:color w:val="auto"/>
              </w:rPr>
              <w:object>
                <v:shape id="_x0000_i1046" o:spt="75" type="#_x0000_t75" style="height:22.4pt;width:144.05pt;" o:ole="t" filled="f" o:preferrelative="t" stroked="f" coordsize="21600,21600">
                  <v:path/>
                  <v:fill on="f" focussize="0,0"/>
                  <v:stroke on="f" joinstyle="miter"/>
                  <v:imagedata r:id="rId69" o:title=""/>
                  <o:lock v:ext="edit" aspectratio="t"/>
                  <w10:wrap type="none"/>
                  <w10:anchorlock/>
                </v:shape>
                <o:OLEObject Type="Embed" ProgID="Equation.KSEE3" ShapeID="_x0000_i1046" DrawAspect="Content" ObjectID="_1468075746" r:id="rId68">
                  <o:LockedField>false</o:LockedField>
                </o:OLEObject>
              </w:object>
            </w:r>
          </w:p>
          <w:p>
            <w:pPr>
              <w:pStyle w:val="24"/>
              <w:adjustRightInd w:val="0"/>
              <w:snapToGrid w:val="0"/>
              <w:rPr>
                <w:color w:val="auto"/>
              </w:rPr>
            </w:pPr>
            <w:r>
              <w:rPr>
                <w:color w:val="auto"/>
              </w:rPr>
              <w:t>式中：Q——起尘量，kg/t·a；</w:t>
            </w:r>
          </w:p>
          <w:p>
            <w:pPr>
              <w:pStyle w:val="24"/>
              <w:adjustRightInd w:val="0"/>
              <w:snapToGrid w:val="0"/>
              <w:ind w:firstLine="1200" w:firstLineChars="500"/>
              <w:rPr>
                <w:color w:val="auto"/>
              </w:rPr>
            </w:pPr>
            <w:r>
              <w:rPr>
                <w:color w:val="auto"/>
              </w:rPr>
              <w:t>V50——距地面50m处风速，m/s；</w:t>
            </w:r>
          </w:p>
          <w:p>
            <w:pPr>
              <w:pStyle w:val="24"/>
              <w:adjustRightInd w:val="0"/>
              <w:snapToGrid w:val="0"/>
              <w:ind w:firstLine="1200" w:firstLineChars="500"/>
              <w:rPr>
                <w:color w:val="auto"/>
              </w:rPr>
            </w:pPr>
            <w:r>
              <w:rPr>
                <w:color w:val="auto"/>
              </w:rPr>
              <w:t>V0——起尘风速，m/s；</w:t>
            </w:r>
          </w:p>
          <w:p>
            <w:pPr>
              <w:pStyle w:val="24"/>
              <w:adjustRightInd w:val="0"/>
              <w:snapToGrid w:val="0"/>
              <w:ind w:firstLine="1200" w:firstLineChars="500"/>
              <w:rPr>
                <w:color w:val="auto"/>
              </w:rPr>
            </w:pPr>
            <w:r>
              <w:rPr>
                <w:color w:val="auto"/>
              </w:rPr>
              <w:t>W——尘粒的含水率，%。</w:t>
            </w:r>
          </w:p>
          <w:p>
            <w:pPr>
              <w:pStyle w:val="29"/>
              <w:adjustRightInd w:val="0"/>
              <w:snapToGrid w:val="0"/>
              <w:rPr>
                <w:rFonts w:ascii="Times New Roman" w:hAnsi="Times New Roman"/>
                <w:snapToGrid w:val="0"/>
                <w:color w:val="auto"/>
              </w:rPr>
            </w:pPr>
            <w:r>
              <w:rPr>
                <w:rFonts w:ascii="Times New Roman" w:hAnsi="Times New Roman"/>
                <w:snapToGrid w:val="0"/>
                <w:color w:val="auto"/>
              </w:rPr>
              <w:t>Q与粒径和含水率有关，因此，减少露天堆放和保证一定的含水率及减少裸露地面是减少风力起尘的有效手段。</w:t>
            </w:r>
          </w:p>
          <w:p>
            <w:pPr>
              <w:pStyle w:val="29"/>
              <w:adjustRightInd w:val="0"/>
              <w:snapToGrid w:val="0"/>
              <w:rPr>
                <w:rFonts w:ascii="Times New Roman" w:hAnsi="Times New Roman"/>
                <w:snapToGrid w:val="0"/>
                <w:color w:val="auto"/>
              </w:rPr>
            </w:pPr>
            <w:r>
              <w:rPr>
                <w:rFonts w:ascii="Times New Roman" w:hAnsi="Times New Roman"/>
                <w:snapToGrid w:val="0"/>
                <w:color w:val="auto"/>
              </w:rPr>
              <w:t>本项目控源截污工程、内源治理工程、生态修复工程、景观工程等施工中均产生施工扬尘，在不同含水率情况下装卸起尘量见下表。</w:t>
            </w:r>
          </w:p>
          <w:p>
            <w:pPr>
              <w:pStyle w:val="24"/>
              <w:adjustRightInd w:val="0"/>
              <w:snapToGrid w:val="0"/>
              <w:spacing w:line="240" w:lineRule="auto"/>
              <w:ind w:firstLine="482"/>
              <w:rPr>
                <w:b/>
                <w:bCs/>
                <w:color w:val="auto"/>
              </w:rPr>
            </w:pPr>
            <w:r>
              <w:rPr>
                <w:b/>
                <w:bCs/>
                <w:color w:val="auto"/>
              </w:rPr>
              <w:t>表</w:t>
            </w:r>
            <w:r>
              <w:rPr>
                <w:rFonts w:hint="eastAsia"/>
                <w:b/>
                <w:bCs/>
                <w:color w:val="auto"/>
              </w:rPr>
              <w:t>4</w:t>
            </w:r>
            <w:r>
              <w:rPr>
                <w:b/>
                <w:bCs/>
                <w:color w:val="auto"/>
              </w:rPr>
              <w:t>-1              在不同水率情况下起尘量</w:t>
            </w:r>
          </w:p>
          <w:tbl>
            <w:tblPr>
              <w:tblStyle w:val="1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857"/>
              <w:gridCol w:w="1136"/>
              <w:gridCol w:w="1136"/>
              <w:gridCol w:w="1136"/>
              <w:gridCol w:w="1136"/>
              <w:gridCol w:w="1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88" w:type="pct"/>
                  <w:tcBorders>
                    <w:tl2br w:val="nil"/>
                    <w:tr2bl w:val="nil"/>
                  </w:tcBorders>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含水率</w:t>
                  </w:r>
                </w:p>
              </w:tc>
              <w:tc>
                <w:tcPr>
                  <w:tcW w:w="539" w:type="pct"/>
                  <w:tcBorders>
                    <w:tl2br w:val="nil"/>
                    <w:tr2bl w:val="nil"/>
                  </w:tcBorders>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4%</w:t>
                  </w:r>
                </w:p>
              </w:tc>
              <w:tc>
                <w:tcPr>
                  <w:tcW w:w="714" w:type="pct"/>
                  <w:tcBorders>
                    <w:tl2br w:val="nil"/>
                    <w:tr2bl w:val="nil"/>
                  </w:tcBorders>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8%</w:t>
                  </w:r>
                </w:p>
              </w:tc>
              <w:tc>
                <w:tcPr>
                  <w:tcW w:w="714" w:type="pct"/>
                  <w:tcBorders>
                    <w:tl2br w:val="nil"/>
                    <w:tr2bl w:val="nil"/>
                  </w:tcBorders>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10%</w:t>
                  </w:r>
                </w:p>
              </w:tc>
              <w:tc>
                <w:tcPr>
                  <w:tcW w:w="714" w:type="pct"/>
                  <w:tcBorders>
                    <w:tl2br w:val="nil"/>
                    <w:tr2bl w:val="nil"/>
                  </w:tcBorders>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15%</w:t>
                  </w:r>
                </w:p>
              </w:tc>
              <w:tc>
                <w:tcPr>
                  <w:tcW w:w="714" w:type="pct"/>
                  <w:tcBorders>
                    <w:tl2br w:val="nil"/>
                    <w:tr2bl w:val="nil"/>
                  </w:tcBorders>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20%</w:t>
                  </w:r>
                </w:p>
              </w:tc>
              <w:tc>
                <w:tcPr>
                  <w:tcW w:w="714" w:type="pct"/>
                  <w:tcBorders>
                    <w:tl2br w:val="nil"/>
                    <w:tr2bl w:val="nil"/>
                  </w:tcBorders>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88"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Q（kg/t.a）</w:t>
                  </w:r>
                </w:p>
              </w:tc>
              <w:tc>
                <w:tcPr>
                  <w:tcW w:w="539"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2.02</w:t>
                  </w:r>
                </w:p>
              </w:tc>
              <w:tc>
                <w:tcPr>
                  <w:tcW w:w="714"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1.93</w:t>
                  </w:r>
                </w:p>
              </w:tc>
              <w:tc>
                <w:tcPr>
                  <w:tcW w:w="714"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1.90</w:t>
                  </w:r>
                </w:p>
              </w:tc>
              <w:tc>
                <w:tcPr>
                  <w:tcW w:w="714"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1.80</w:t>
                  </w:r>
                </w:p>
              </w:tc>
              <w:tc>
                <w:tcPr>
                  <w:tcW w:w="714"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1.71</w:t>
                  </w:r>
                </w:p>
              </w:tc>
              <w:tc>
                <w:tcPr>
                  <w:tcW w:w="714"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88"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起尘速（kg/h）</w:t>
                  </w:r>
                </w:p>
              </w:tc>
              <w:tc>
                <w:tcPr>
                  <w:tcW w:w="539"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65.5</w:t>
                  </w:r>
                </w:p>
              </w:tc>
              <w:tc>
                <w:tcPr>
                  <w:tcW w:w="714"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35.9</w:t>
                  </w:r>
                </w:p>
              </w:tc>
              <w:tc>
                <w:tcPr>
                  <w:tcW w:w="714"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35.2</w:t>
                  </w:r>
                </w:p>
              </w:tc>
              <w:tc>
                <w:tcPr>
                  <w:tcW w:w="714"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33.4</w:t>
                  </w:r>
                </w:p>
              </w:tc>
              <w:tc>
                <w:tcPr>
                  <w:tcW w:w="714"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31.8</w:t>
                  </w:r>
                </w:p>
              </w:tc>
              <w:tc>
                <w:tcPr>
                  <w:tcW w:w="714"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28.7</w:t>
                  </w:r>
                </w:p>
              </w:tc>
            </w:tr>
          </w:tbl>
          <w:p>
            <w:pPr>
              <w:pStyle w:val="24"/>
              <w:adjustRightInd w:val="0"/>
              <w:snapToGrid w:val="0"/>
              <w:rPr>
                <w:color w:val="auto"/>
              </w:rPr>
            </w:pPr>
            <w:r>
              <w:rPr>
                <w:color w:val="auto"/>
              </w:rPr>
              <w:t>②运输扬尘</w:t>
            </w:r>
          </w:p>
          <w:p>
            <w:pPr>
              <w:pStyle w:val="24"/>
              <w:adjustRightInd w:val="0"/>
              <w:snapToGrid w:val="0"/>
              <w:rPr>
                <w:color w:val="auto"/>
              </w:rPr>
            </w:pPr>
            <w:r>
              <w:rPr>
                <w:color w:val="auto"/>
              </w:rPr>
              <w:t>车辆行驶的动力起尘在完全干燥的情况下，可按下列经验公式计算：</w:t>
            </w:r>
          </w:p>
          <w:p>
            <w:pPr>
              <w:adjustRightInd w:val="0"/>
              <w:snapToGrid w:val="0"/>
              <w:spacing w:line="360" w:lineRule="auto"/>
              <w:jc w:val="center"/>
              <w:rPr>
                <w:color w:val="auto"/>
                <w:sz w:val="24"/>
              </w:rPr>
            </w:pPr>
            <w:r>
              <w:rPr>
                <w:color w:val="auto"/>
                <w:sz w:val="24"/>
              </w:rPr>
              <w:object>
                <v:shape id="_x0000_i1047" o:spt="75" type="#_x0000_t75" style="height:22.4pt;width:183.3pt;" o:ole="t" filled="f" o:preferrelative="t" stroked="f" coordsize="21600,21600">
                  <v:path/>
                  <v:fill on="f" focussize="0,0"/>
                  <v:stroke on="f" joinstyle="miter"/>
                  <v:imagedata r:id="rId71" o:title=""/>
                  <o:lock v:ext="edit" aspectratio="t"/>
                  <w10:wrap type="none"/>
                  <w10:anchorlock/>
                </v:shape>
                <o:OLEObject Type="Embed" ProgID="Equation.KSEE3" ShapeID="_x0000_i1047" DrawAspect="Content" ObjectID="_1468075747" r:id="rId70">
                  <o:LockedField>false</o:LockedField>
                </o:OLEObject>
              </w:object>
            </w:r>
          </w:p>
          <w:p>
            <w:pPr>
              <w:adjustRightInd w:val="0"/>
              <w:snapToGrid w:val="0"/>
              <w:spacing w:line="360" w:lineRule="auto"/>
              <w:jc w:val="center"/>
              <w:rPr>
                <w:color w:val="auto"/>
                <w:sz w:val="24"/>
              </w:rPr>
            </w:pPr>
            <w:r>
              <w:rPr>
                <w:color w:val="auto"/>
                <w:sz w:val="24"/>
              </w:rPr>
              <w:object>
                <v:shape id="_x0000_i1048" o:spt="75" type="#_x0000_t75" style="height:45.5pt;width:65.9pt;" o:ole="t" filled="f" o:preferrelative="t" stroked="f" coordsize="21600,21600">
                  <v:path/>
                  <v:fill on="f" focussize="0,0"/>
                  <v:stroke on="f" joinstyle="miter"/>
                  <v:imagedata r:id="rId73" o:title=""/>
                  <o:lock v:ext="edit" aspectratio="t"/>
                  <w10:wrap type="none"/>
                  <w10:anchorlock/>
                </v:shape>
                <o:OLEObject Type="Embed" ProgID="Equation.KSEE3" ShapeID="_x0000_i1048" DrawAspect="Content" ObjectID="_1468075748" r:id="rId72">
                  <o:LockedField>false</o:LockedField>
                </o:OLEObject>
              </w:object>
            </w:r>
          </w:p>
          <w:p>
            <w:pPr>
              <w:adjustRightInd w:val="0"/>
              <w:snapToGrid w:val="0"/>
              <w:spacing w:line="360" w:lineRule="auto"/>
              <w:ind w:firstLine="480" w:firstLineChars="200"/>
              <w:jc w:val="left"/>
              <w:rPr>
                <w:color w:val="auto"/>
                <w:sz w:val="24"/>
              </w:rPr>
            </w:pPr>
            <w:r>
              <w:rPr>
                <w:color w:val="auto"/>
                <w:sz w:val="24"/>
              </w:rPr>
              <w:t>式中：Qi——每辆汽车行驶扬尘量，kg/km·辆；</w:t>
            </w:r>
          </w:p>
          <w:p>
            <w:pPr>
              <w:adjustRightInd w:val="0"/>
              <w:snapToGrid w:val="0"/>
              <w:spacing w:line="360" w:lineRule="auto"/>
              <w:ind w:firstLine="1200" w:firstLineChars="500"/>
              <w:jc w:val="left"/>
              <w:rPr>
                <w:color w:val="auto"/>
                <w:sz w:val="24"/>
              </w:rPr>
            </w:pPr>
            <w:r>
              <w:rPr>
                <w:color w:val="auto"/>
                <w:sz w:val="24"/>
              </w:rPr>
              <w:t>Q——汽车运输总扬尘量，kg/km；</w:t>
            </w:r>
          </w:p>
          <w:p>
            <w:pPr>
              <w:adjustRightInd w:val="0"/>
              <w:snapToGrid w:val="0"/>
              <w:spacing w:line="360" w:lineRule="auto"/>
              <w:ind w:firstLine="1200" w:firstLineChars="500"/>
              <w:jc w:val="left"/>
              <w:rPr>
                <w:color w:val="auto"/>
                <w:sz w:val="24"/>
              </w:rPr>
            </w:pPr>
            <w:r>
              <w:rPr>
                <w:color w:val="auto"/>
                <w:sz w:val="24"/>
              </w:rPr>
              <w:t>V——汽车速度，km/h，取10km/h；</w:t>
            </w:r>
          </w:p>
          <w:p>
            <w:pPr>
              <w:adjustRightInd w:val="0"/>
              <w:snapToGrid w:val="0"/>
              <w:spacing w:line="360" w:lineRule="auto"/>
              <w:ind w:firstLine="1200" w:firstLineChars="500"/>
              <w:jc w:val="left"/>
              <w:rPr>
                <w:color w:val="auto"/>
                <w:sz w:val="24"/>
              </w:rPr>
            </w:pPr>
            <w:r>
              <w:rPr>
                <w:color w:val="auto"/>
                <w:sz w:val="24"/>
              </w:rPr>
              <w:t>W——汽车重量，t，空车重约10t，重车重约30t；</w:t>
            </w:r>
          </w:p>
          <w:p>
            <w:pPr>
              <w:adjustRightInd w:val="0"/>
              <w:snapToGrid w:val="0"/>
              <w:spacing w:line="360" w:lineRule="auto"/>
              <w:ind w:firstLine="1200" w:firstLineChars="500"/>
              <w:rPr>
                <w:color w:val="auto"/>
                <w:sz w:val="24"/>
              </w:rPr>
            </w:pPr>
            <w:r>
              <w:rPr>
                <w:color w:val="auto"/>
                <w:sz w:val="24"/>
              </w:rPr>
              <w:t>P——道路表面粉尘量，kg/m</w:t>
            </w:r>
            <w:r>
              <w:rPr>
                <w:color w:val="auto"/>
                <w:sz w:val="24"/>
                <w:vertAlign w:val="superscript"/>
              </w:rPr>
              <w:t>2</w:t>
            </w:r>
            <w:r>
              <w:rPr>
                <w:color w:val="auto"/>
                <w:sz w:val="24"/>
              </w:rPr>
              <w:t>（砂石路面取0.2kg/m</w:t>
            </w:r>
            <w:r>
              <w:rPr>
                <w:color w:val="auto"/>
                <w:sz w:val="24"/>
                <w:vertAlign w:val="superscript"/>
              </w:rPr>
              <w:t>2</w:t>
            </w:r>
            <w:r>
              <w:rPr>
                <w:color w:val="auto"/>
                <w:sz w:val="24"/>
              </w:rPr>
              <w:t>）。</w:t>
            </w:r>
          </w:p>
          <w:p>
            <w:pPr>
              <w:adjustRightInd w:val="0"/>
              <w:snapToGrid w:val="0"/>
              <w:spacing w:line="360" w:lineRule="auto"/>
              <w:ind w:firstLine="480" w:firstLineChars="200"/>
              <w:rPr>
                <w:color w:val="auto"/>
                <w:sz w:val="24"/>
              </w:rPr>
            </w:pPr>
            <w:r>
              <w:rPr>
                <w:color w:val="auto"/>
                <w:sz w:val="24"/>
              </w:rPr>
              <w:t>对于施工扬尘，由于在时间和空间上均较为零散，实践表明，对于施工扬尘采用喷水抑尘的方法是有效的。施工阶段对堆土表面和汽车行驶路面勤洒水（每天4～5次），可以使空气中粉尘量减少70%左右。因此，项目施工时应注意对堆土和运输路面进行洒水喷淋，抑制扬尘的产生。土方在运输时，应当采用篷布遮盖密闭运输，同时在施工场地内限制车速，低速行驶。</w:t>
            </w:r>
          </w:p>
          <w:p>
            <w:pPr>
              <w:adjustRightInd w:val="0"/>
              <w:snapToGrid w:val="0"/>
              <w:spacing w:line="360" w:lineRule="auto"/>
              <w:ind w:firstLine="480" w:firstLineChars="200"/>
              <w:rPr>
                <w:color w:val="auto"/>
                <w:sz w:val="24"/>
              </w:rPr>
            </w:pPr>
            <w:r>
              <w:rPr>
                <w:color w:val="auto"/>
                <w:sz w:val="24"/>
              </w:rPr>
              <w:t>⑵施工车辆和设备尾气</w:t>
            </w:r>
          </w:p>
          <w:p>
            <w:pPr>
              <w:widowControl/>
              <w:spacing w:line="360" w:lineRule="auto"/>
              <w:ind w:firstLine="480" w:firstLineChars="200"/>
              <w:rPr>
                <w:b/>
                <w:color w:val="auto"/>
                <w:sz w:val="28"/>
                <w:szCs w:val="28"/>
              </w:rPr>
            </w:pPr>
            <w:r>
              <w:rPr>
                <w:color w:val="auto"/>
                <w:sz w:val="24"/>
              </w:rPr>
              <w:t>项目施工现场机械虽多，但多以电力为能源，无废气产生。而运输汽车以及燃油压路机（路面平整）等采用汽柴油作为燃料，其工作时会产生尾气。汽车和施工机械设备的尾气中的气体成分基本相同，主要含有CO、HC和NOx等。</w:t>
            </w:r>
          </w:p>
          <w:p>
            <w:pPr>
              <w:widowControl/>
              <w:spacing w:line="360" w:lineRule="auto"/>
              <w:ind w:firstLine="482" w:firstLineChars="200"/>
              <w:rPr>
                <w:b/>
                <w:bCs/>
                <w:color w:val="auto"/>
                <w:sz w:val="24"/>
              </w:rPr>
            </w:pPr>
            <w:r>
              <w:rPr>
                <w:b/>
                <w:bCs/>
                <w:color w:val="auto"/>
                <w:sz w:val="24"/>
              </w:rPr>
              <w:t>2、废水</w:t>
            </w:r>
          </w:p>
          <w:p>
            <w:pPr>
              <w:pStyle w:val="29"/>
              <w:adjustRightInd w:val="0"/>
              <w:snapToGrid w:val="0"/>
              <w:rPr>
                <w:rFonts w:ascii="Times New Roman" w:hAnsi="Times New Roman"/>
                <w:color w:val="auto"/>
              </w:rPr>
            </w:pPr>
            <w:r>
              <w:rPr>
                <w:rFonts w:ascii="Times New Roman" w:hAnsi="Times New Roman"/>
                <w:color w:val="auto"/>
              </w:rPr>
              <w:t>施工期产生的水污染主要来自于施工人员生活污水、砂石料加工冲洗水、机械维修养护废水、混凝土养护废水以及基坑水等。</w:t>
            </w:r>
          </w:p>
          <w:p>
            <w:pPr>
              <w:pStyle w:val="29"/>
              <w:adjustRightInd w:val="0"/>
              <w:snapToGrid w:val="0"/>
              <w:rPr>
                <w:rFonts w:ascii="Times New Roman" w:hAnsi="Times New Roman"/>
                <w:color w:val="auto"/>
              </w:rPr>
            </w:pPr>
            <w:r>
              <w:rPr>
                <w:rFonts w:ascii="Times New Roman" w:hAnsi="Times New Roman"/>
                <w:color w:val="auto"/>
              </w:rPr>
              <w:fldChar w:fldCharType="begin"/>
            </w:r>
            <w:r>
              <w:rPr>
                <w:rFonts w:ascii="Times New Roman" w:hAnsi="Times New Roman"/>
                <w:color w:val="auto"/>
              </w:rPr>
              <w:instrText xml:space="preserve"> = 1 \* GB2 \* MERGEFORMAT </w:instrText>
            </w:r>
            <w:r>
              <w:rPr>
                <w:rFonts w:ascii="Times New Roman" w:hAnsi="Times New Roman"/>
                <w:color w:val="auto"/>
              </w:rPr>
              <w:fldChar w:fldCharType="separate"/>
            </w:r>
            <w:r>
              <w:rPr>
                <w:rFonts w:ascii="Times New Roman" w:hAnsi="Times New Roman"/>
                <w:color w:val="auto"/>
              </w:rPr>
              <w:t>⑴</w:t>
            </w:r>
            <w:r>
              <w:rPr>
                <w:rFonts w:ascii="Times New Roman" w:hAnsi="Times New Roman"/>
                <w:color w:val="auto"/>
              </w:rPr>
              <w:fldChar w:fldCharType="end"/>
            </w:r>
            <w:r>
              <w:rPr>
                <w:rFonts w:ascii="Times New Roman" w:hAnsi="Times New Roman"/>
                <w:color w:val="auto"/>
              </w:rPr>
              <w:t>混凝土的养护废水</w:t>
            </w:r>
          </w:p>
          <w:p>
            <w:pPr>
              <w:pStyle w:val="29"/>
              <w:adjustRightInd w:val="0"/>
              <w:snapToGrid w:val="0"/>
              <w:rPr>
                <w:rFonts w:ascii="Times New Roman" w:hAnsi="Times New Roman"/>
                <w:color w:val="auto"/>
              </w:rPr>
            </w:pPr>
            <w:r>
              <w:rPr>
                <w:rFonts w:ascii="Times New Roman" w:hAnsi="Times New Roman"/>
                <w:color w:val="auto"/>
              </w:rPr>
              <w:t>该废水pH值较高，一般达9～12。但混凝土的养护用水量少，蒸发吸收快，一般用草袋、塑料布覆盖，进入土壤或水体的养护水很少，对水环境影响小。</w:t>
            </w:r>
          </w:p>
          <w:p>
            <w:pPr>
              <w:pStyle w:val="29"/>
              <w:adjustRightInd w:val="0"/>
              <w:snapToGrid w:val="0"/>
              <w:rPr>
                <w:rFonts w:ascii="Times New Roman" w:hAnsi="Times New Roman"/>
                <w:color w:val="auto"/>
              </w:rPr>
            </w:pPr>
            <w:r>
              <w:rPr>
                <w:rFonts w:ascii="Times New Roman" w:hAnsi="Times New Roman"/>
                <w:color w:val="auto"/>
              </w:rPr>
              <w:fldChar w:fldCharType="begin"/>
            </w:r>
            <w:r>
              <w:rPr>
                <w:rFonts w:ascii="Times New Roman" w:hAnsi="Times New Roman"/>
                <w:color w:val="auto"/>
              </w:rPr>
              <w:instrText xml:space="preserve"> = 2 \* GB2 \* MERGEFORMAT </w:instrText>
            </w:r>
            <w:r>
              <w:rPr>
                <w:rFonts w:ascii="Times New Roman" w:hAnsi="Times New Roman"/>
                <w:color w:val="auto"/>
              </w:rPr>
              <w:fldChar w:fldCharType="separate"/>
            </w:r>
            <w:r>
              <w:rPr>
                <w:rFonts w:ascii="Times New Roman" w:hAnsi="Times New Roman"/>
                <w:color w:val="auto"/>
              </w:rPr>
              <w:t>⑵</w:t>
            </w:r>
            <w:r>
              <w:rPr>
                <w:rFonts w:ascii="Times New Roman" w:hAnsi="Times New Roman"/>
                <w:color w:val="auto"/>
              </w:rPr>
              <w:fldChar w:fldCharType="end"/>
            </w:r>
            <w:r>
              <w:rPr>
                <w:rFonts w:ascii="Times New Roman" w:hAnsi="Times New Roman"/>
                <w:color w:val="auto"/>
              </w:rPr>
              <w:t>砂石加工系统废水</w:t>
            </w:r>
          </w:p>
          <w:p>
            <w:pPr>
              <w:pStyle w:val="29"/>
              <w:adjustRightInd w:val="0"/>
              <w:snapToGrid w:val="0"/>
              <w:rPr>
                <w:rFonts w:ascii="Times New Roman" w:hAnsi="Times New Roman"/>
                <w:color w:val="auto"/>
              </w:rPr>
            </w:pPr>
            <w:r>
              <w:rPr>
                <w:rFonts w:ascii="Times New Roman" w:hAnsi="Times New Roman"/>
                <w:color w:val="auto"/>
              </w:rPr>
              <w:t>砂石料加工系统废水具有水量大、SS浓度高的特点，借鉴一些水利工程施工资料，工程砂石料加工系统废水SS浓度一般在10000-30000mg/L，本项目由于工程内容较简单，SS浓度预计约10000mg/L。砂石料加工冲洗水经沉淀处理后，将SS降低到2000mg/L以下，可重新回用作为砂石料加工冲洗水。</w:t>
            </w:r>
          </w:p>
          <w:p>
            <w:pPr>
              <w:pStyle w:val="29"/>
              <w:adjustRightInd w:val="0"/>
              <w:snapToGrid w:val="0"/>
              <w:rPr>
                <w:rFonts w:ascii="Times New Roman" w:hAnsi="Times New Roman"/>
                <w:color w:val="auto"/>
              </w:rPr>
            </w:pPr>
            <w:r>
              <w:rPr>
                <w:rFonts w:hint="eastAsia"/>
                <w:color w:val="auto"/>
              </w:rPr>
              <w:t>⑶</w:t>
            </w:r>
            <w:r>
              <w:rPr>
                <w:rFonts w:ascii="Times New Roman" w:hAnsi="Times New Roman"/>
                <w:color w:val="auto"/>
              </w:rPr>
              <w:t>施工人员生活污水</w:t>
            </w:r>
          </w:p>
          <w:p>
            <w:pPr>
              <w:pStyle w:val="29"/>
              <w:adjustRightInd w:val="0"/>
              <w:snapToGrid w:val="0"/>
              <w:rPr>
                <w:rFonts w:ascii="Times New Roman" w:hAnsi="Times New Roman"/>
                <w:color w:val="auto"/>
              </w:rPr>
            </w:pPr>
            <w:r>
              <w:rPr>
                <w:rFonts w:ascii="Times New Roman" w:hAnsi="Times New Roman"/>
                <w:color w:val="auto"/>
              </w:rPr>
              <w:t>高峰期施工人员约50人，用水量按60L/d▪人计，则日最大用水量约为3t/d；污水排放系数按0.85计，则日最大污水产生量约为2.6t/d。施工期临时指挥部产生的少量生活污水利用沿线既有环保处理设施处理。</w:t>
            </w:r>
          </w:p>
          <w:p>
            <w:pPr>
              <w:adjustRightInd w:val="0"/>
              <w:snapToGrid w:val="0"/>
              <w:spacing w:line="360" w:lineRule="auto"/>
              <w:ind w:firstLine="482" w:firstLineChars="200"/>
              <w:rPr>
                <w:b/>
                <w:bCs/>
                <w:color w:val="auto"/>
                <w:sz w:val="24"/>
              </w:rPr>
            </w:pPr>
            <w:r>
              <w:rPr>
                <w:b/>
                <w:bCs/>
                <w:color w:val="auto"/>
                <w:sz w:val="24"/>
              </w:rPr>
              <w:t>3、噪声</w:t>
            </w:r>
          </w:p>
          <w:p>
            <w:pPr>
              <w:adjustRightInd w:val="0"/>
              <w:snapToGrid w:val="0"/>
              <w:spacing w:line="360" w:lineRule="auto"/>
              <w:ind w:firstLine="480" w:firstLineChars="200"/>
              <w:rPr>
                <w:color w:val="auto"/>
                <w:sz w:val="24"/>
              </w:rPr>
            </w:pPr>
            <w:r>
              <w:rPr>
                <w:color w:val="auto"/>
                <w:sz w:val="24"/>
              </w:rPr>
              <w:t>项目施工期噪声来自于施工机械和运输车辆，具有高噪声、无规律的特点，它对外环境的影响是暂时的，随施工期结束而消失。据调查，国内目前道路施工采用的机械设备主要有装卸机、压路机、推土机等，本项目所采用的各设备的声压级见表</w:t>
            </w:r>
            <w:r>
              <w:rPr>
                <w:rFonts w:hint="eastAsia"/>
                <w:color w:val="auto"/>
                <w:sz w:val="24"/>
              </w:rPr>
              <w:t>4-</w:t>
            </w:r>
            <w:r>
              <w:rPr>
                <w:color w:val="auto"/>
                <w:sz w:val="24"/>
              </w:rPr>
              <w:t>2。</w:t>
            </w:r>
          </w:p>
          <w:p>
            <w:pPr>
              <w:adjustRightInd w:val="0"/>
              <w:snapToGrid w:val="0"/>
              <w:ind w:firstLine="1446" w:firstLineChars="600"/>
              <w:rPr>
                <w:b/>
                <w:color w:val="auto"/>
                <w:sz w:val="24"/>
              </w:rPr>
            </w:pPr>
            <w:r>
              <w:rPr>
                <w:b/>
                <w:color w:val="auto"/>
                <w:sz w:val="24"/>
              </w:rPr>
              <w:t>表</w:t>
            </w:r>
            <w:r>
              <w:rPr>
                <w:rFonts w:hint="eastAsia"/>
                <w:b/>
                <w:color w:val="auto"/>
                <w:sz w:val="24"/>
              </w:rPr>
              <w:t>4</w:t>
            </w:r>
            <w:r>
              <w:rPr>
                <w:b/>
                <w:color w:val="auto"/>
                <w:sz w:val="24"/>
              </w:rPr>
              <w:t>-2              施工机械设备噪声源强</w:t>
            </w:r>
          </w:p>
          <w:tbl>
            <w:tblPr>
              <w:tblStyle w:val="19"/>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2283"/>
              <w:gridCol w:w="1611"/>
              <w:gridCol w:w="1594"/>
              <w:gridCol w:w="1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b/>
                      <w:bCs/>
                      <w:color w:val="auto"/>
                      <w:sz w:val="21"/>
                      <w:szCs w:val="21"/>
                    </w:rPr>
                    <w:t>序号</w:t>
                  </w:r>
                </w:p>
              </w:tc>
              <w:tc>
                <w:tcPr>
                  <w:tcW w:w="1435"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b/>
                      <w:bCs/>
                      <w:color w:val="auto"/>
                      <w:sz w:val="21"/>
                      <w:szCs w:val="21"/>
                    </w:rPr>
                    <w:t>设备类型</w:t>
                  </w:r>
                </w:p>
              </w:tc>
              <w:tc>
                <w:tcPr>
                  <w:tcW w:w="1013"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b/>
                      <w:bCs/>
                      <w:color w:val="auto"/>
                      <w:sz w:val="21"/>
                      <w:szCs w:val="21"/>
                    </w:rPr>
                    <w:t>规格型号</w:t>
                  </w:r>
                </w:p>
              </w:tc>
              <w:tc>
                <w:tcPr>
                  <w:tcW w:w="10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b/>
                      <w:bCs/>
                      <w:color w:val="auto"/>
                      <w:sz w:val="21"/>
                      <w:szCs w:val="21"/>
                    </w:rPr>
                    <w:t>测点与施工机械距离（m）</w:t>
                  </w:r>
                </w:p>
              </w:tc>
              <w:tc>
                <w:tcPr>
                  <w:tcW w:w="1047"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b/>
                      <w:bCs/>
                      <w:color w:val="auto"/>
                      <w:sz w:val="21"/>
                      <w:szCs w:val="21"/>
                    </w:rPr>
                    <w:t>最大声级（dB(A)）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1</w:t>
                  </w:r>
                </w:p>
              </w:tc>
              <w:tc>
                <w:tcPr>
                  <w:tcW w:w="1435"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轮式装卸机</w:t>
                  </w:r>
                </w:p>
              </w:tc>
              <w:tc>
                <w:tcPr>
                  <w:tcW w:w="1013"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ZL40型</w:t>
                  </w:r>
                </w:p>
              </w:tc>
              <w:tc>
                <w:tcPr>
                  <w:tcW w:w="10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5</w:t>
                  </w:r>
                </w:p>
              </w:tc>
              <w:tc>
                <w:tcPr>
                  <w:tcW w:w="1047"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2</w:t>
                  </w:r>
                </w:p>
              </w:tc>
              <w:tc>
                <w:tcPr>
                  <w:tcW w:w="1435"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平地机</w:t>
                  </w:r>
                </w:p>
              </w:tc>
              <w:tc>
                <w:tcPr>
                  <w:tcW w:w="1013"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PY160A型</w:t>
                  </w:r>
                </w:p>
              </w:tc>
              <w:tc>
                <w:tcPr>
                  <w:tcW w:w="1002" w:type="pct"/>
                  <w:tcBorders>
                    <w:tl2br w:val="nil"/>
                    <w:tr2bl w:val="nil"/>
                  </w:tcBorders>
                  <w:vAlign w:val="center"/>
                </w:tcPr>
                <w:p>
                  <w:pPr>
                    <w:adjustRightInd w:val="0"/>
                    <w:snapToGrid w:val="0"/>
                    <w:jc w:val="center"/>
                    <w:rPr>
                      <w:color w:val="auto"/>
                      <w:szCs w:val="21"/>
                    </w:rPr>
                  </w:pPr>
                  <w:r>
                    <w:rPr>
                      <w:color w:val="auto"/>
                      <w:szCs w:val="21"/>
                    </w:rPr>
                    <w:t>5</w:t>
                  </w:r>
                </w:p>
              </w:tc>
              <w:tc>
                <w:tcPr>
                  <w:tcW w:w="1047"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3</w:t>
                  </w:r>
                </w:p>
              </w:tc>
              <w:tc>
                <w:tcPr>
                  <w:tcW w:w="1435"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双轮双振压路机</w:t>
                  </w:r>
                </w:p>
              </w:tc>
              <w:tc>
                <w:tcPr>
                  <w:tcW w:w="1013"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CC2型</w:t>
                  </w:r>
                </w:p>
              </w:tc>
              <w:tc>
                <w:tcPr>
                  <w:tcW w:w="1002" w:type="pct"/>
                  <w:tcBorders>
                    <w:tl2br w:val="nil"/>
                    <w:tr2bl w:val="nil"/>
                  </w:tcBorders>
                  <w:vAlign w:val="center"/>
                </w:tcPr>
                <w:p>
                  <w:pPr>
                    <w:adjustRightInd w:val="0"/>
                    <w:snapToGrid w:val="0"/>
                    <w:jc w:val="center"/>
                    <w:rPr>
                      <w:color w:val="auto"/>
                      <w:szCs w:val="21"/>
                    </w:rPr>
                  </w:pPr>
                  <w:r>
                    <w:rPr>
                      <w:color w:val="auto"/>
                      <w:szCs w:val="21"/>
                    </w:rPr>
                    <w:t>5</w:t>
                  </w:r>
                </w:p>
              </w:tc>
              <w:tc>
                <w:tcPr>
                  <w:tcW w:w="1047"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4</w:t>
                  </w:r>
                </w:p>
              </w:tc>
              <w:tc>
                <w:tcPr>
                  <w:tcW w:w="1435"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推土机</w:t>
                  </w:r>
                </w:p>
              </w:tc>
              <w:tc>
                <w:tcPr>
                  <w:tcW w:w="1013"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T140型</w:t>
                  </w:r>
                </w:p>
              </w:tc>
              <w:tc>
                <w:tcPr>
                  <w:tcW w:w="1002" w:type="pct"/>
                  <w:tcBorders>
                    <w:tl2br w:val="nil"/>
                    <w:tr2bl w:val="nil"/>
                  </w:tcBorders>
                  <w:vAlign w:val="center"/>
                </w:tcPr>
                <w:p>
                  <w:pPr>
                    <w:adjustRightInd w:val="0"/>
                    <w:snapToGrid w:val="0"/>
                    <w:jc w:val="center"/>
                    <w:rPr>
                      <w:color w:val="auto"/>
                      <w:szCs w:val="21"/>
                    </w:rPr>
                  </w:pPr>
                  <w:r>
                    <w:rPr>
                      <w:color w:val="auto"/>
                      <w:szCs w:val="21"/>
                    </w:rPr>
                    <w:t>5</w:t>
                  </w:r>
                </w:p>
              </w:tc>
              <w:tc>
                <w:tcPr>
                  <w:tcW w:w="1047"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5</w:t>
                  </w:r>
                </w:p>
              </w:tc>
              <w:tc>
                <w:tcPr>
                  <w:tcW w:w="1435"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履带式挖掘机</w:t>
                  </w:r>
                </w:p>
              </w:tc>
              <w:tc>
                <w:tcPr>
                  <w:tcW w:w="1013"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W4-60C型</w:t>
                  </w:r>
                </w:p>
              </w:tc>
              <w:tc>
                <w:tcPr>
                  <w:tcW w:w="1002" w:type="pct"/>
                  <w:tcBorders>
                    <w:tl2br w:val="nil"/>
                    <w:tr2bl w:val="nil"/>
                  </w:tcBorders>
                  <w:vAlign w:val="center"/>
                </w:tcPr>
                <w:p>
                  <w:pPr>
                    <w:adjustRightInd w:val="0"/>
                    <w:snapToGrid w:val="0"/>
                    <w:jc w:val="center"/>
                    <w:rPr>
                      <w:color w:val="auto"/>
                      <w:szCs w:val="21"/>
                    </w:rPr>
                  </w:pPr>
                  <w:r>
                    <w:rPr>
                      <w:color w:val="auto"/>
                      <w:szCs w:val="21"/>
                    </w:rPr>
                    <w:t>5</w:t>
                  </w:r>
                </w:p>
              </w:tc>
              <w:tc>
                <w:tcPr>
                  <w:tcW w:w="1047"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6</w:t>
                  </w:r>
                </w:p>
              </w:tc>
              <w:tc>
                <w:tcPr>
                  <w:tcW w:w="1435"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摊铺机</w:t>
                  </w:r>
                </w:p>
              </w:tc>
              <w:tc>
                <w:tcPr>
                  <w:tcW w:w="1013"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w:t>
                  </w:r>
                </w:p>
              </w:tc>
              <w:tc>
                <w:tcPr>
                  <w:tcW w:w="1002" w:type="pct"/>
                  <w:tcBorders>
                    <w:tl2br w:val="nil"/>
                    <w:tr2bl w:val="nil"/>
                  </w:tcBorders>
                  <w:vAlign w:val="center"/>
                </w:tcPr>
                <w:p>
                  <w:pPr>
                    <w:adjustRightInd w:val="0"/>
                    <w:snapToGrid w:val="0"/>
                    <w:jc w:val="center"/>
                    <w:rPr>
                      <w:color w:val="auto"/>
                      <w:szCs w:val="21"/>
                    </w:rPr>
                  </w:pPr>
                  <w:r>
                    <w:rPr>
                      <w:color w:val="auto"/>
                      <w:szCs w:val="21"/>
                    </w:rPr>
                    <w:t>5</w:t>
                  </w:r>
                </w:p>
              </w:tc>
              <w:tc>
                <w:tcPr>
                  <w:tcW w:w="1047"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7</w:t>
                  </w:r>
                </w:p>
              </w:tc>
              <w:tc>
                <w:tcPr>
                  <w:tcW w:w="1435"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机动翻斗车</w:t>
                  </w:r>
                </w:p>
              </w:tc>
              <w:tc>
                <w:tcPr>
                  <w:tcW w:w="1013"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w:t>
                  </w:r>
                </w:p>
              </w:tc>
              <w:tc>
                <w:tcPr>
                  <w:tcW w:w="1002" w:type="pct"/>
                  <w:tcBorders>
                    <w:tl2br w:val="nil"/>
                    <w:tr2bl w:val="nil"/>
                  </w:tcBorders>
                  <w:vAlign w:val="center"/>
                </w:tcPr>
                <w:p>
                  <w:pPr>
                    <w:adjustRightInd w:val="0"/>
                    <w:snapToGrid w:val="0"/>
                    <w:jc w:val="center"/>
                    <w:rPr>
                      <w:color w:val="auto"/>
                      <w:szCs w:val="21"/>
                    </w:rPr>
                  </w:pPr>
                  <w:r>
                    <w:rPr>
                      <w:color w:val="auto"/>
                      <w:szCs w:val="21"/>
                    </w:rPr>
                    <w:t>5</w:t>
                  </w:r>
                </w:p>
              </w:tc>
              <w:tc>
                <w:tcPr>
                  <w:tcW w:w="1047"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2"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w:t>
                  </w:r>
                </w:p>
              </w:tc>
              <w:tc>
                <w:tcPr>
                  <w:tcW w:w="1435"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管道牵引机</w:t>
                  </w:r>
                </w:p>
              </w:tc>
              <w:tc>
                <w:tcPr>
                  <w:tcW w:w="1013"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w:t>
                  </w:r>
                </w:p>
              </w:tc>
              <w:tc>
                <w:tcPr>
                  <w:tcW w:w="1002" w:type="pct"/>
                  <w:tcBorders>
                    <w:tl2br w:val="nil"/>
                    <w:tr2bl w:val="nil"/>
                  </w:tcBorders>
                  <w:vAlign w:val="center"/>
                </w:tcPr>
                <w:p>
                  <w:pPr>
                    <w:adjustRightInd w:val="0"/>
                    <w:snapToGrid w:val="0"/>
                    <w:jc w:val="center"/>
                    <w:rPr>
                      <w:color w:val="auto"/>
                      <w:szCs w:val="21"/>
                    </w:rPr>
                  </w:pPr>
                  <w:r>
                    <w:rPr>
                      <w:color w:val="auto"/>
                      <w:szCs w:val="21"/>
                    </w:rPr>
                    <w:t>5</w:t>
                  </w:r>
                </w:p>
              </w:tc>
              <w:tc>
                <w:tcPr>
                  <w:tcW w:w="1047" w:type="pct"/>
                  <w:tcBorders>
                    <w:tl2br w:val="nil"/>
                    <w:tr2bl w:val="nil"/>
                  </w:tcBorders>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85</w:t>
                  </w:r>
                </w:p>
              </w:tc>
            </w:tr>
          </w:tbl>
          <w:p>
            <w:pPr>
              <w:pStyle w:val="24"/>
              <w:adjustRightInd w:val="0"/>
              <w:snapToGrid w:val="0"/>
              <w:spacing w:before="120" w:beforeLines="50"/>
              <w:rPr>
                <w:color w:val="auto"/>
              </w:rPr>
            </w:pPr>
            <w:r>
              <w:rPr>
                <w:color w:val="auto"/>
              </w:rPr>
              <w:t>施工期使用的机械设备种类较多，施工机械噪声值较高，易对施工现场附近造成较为明显的影响。特别是土石方和结构阶段对外界有较大的噪声污染。所以首先建设方应首选低噪声的施工作业设备，文明施工，同时尽量避免夜间施工。</w:t>
            </w:r>
          </w:p>
          <w:p>
            <w:pPr>
              <w:pStyle w:val="24"/>
              <w:ind w:firstLine="482"/>
              <w:rPr>
                <w:b/>
                <w:color w:val="auto"/>
              </w:rPr>
            </w:pPr>
            <w:r>
              <w:rPr>
                <w:b/>
                <w:color w:val="auto"/>
              </w:rPr>
              <w:t>4、固废</w:t>
            </w:r>
          </w:p>
          <w:p>
            <w:pPr>
              <w:pStyle w:val="24"/>
              <w:rPr>
                <w:color w:val="auto"/>
              </w:rPr>
            </w:pPr>
            <w:r>
              <w:rPr>
                <w:rFonts w:hint="eastAsia"/>
                <w:color w:val="auto"/>
              </w:rPr>
              <w:t>工程施工期所产生的固体废物主要包括两部分，一部分来自工程施工产生的弃土、弃石；另一部分来自施工区的垃圾，包括废弃的建材、包装材料以及施工人员的生活垃圾，这些固体废弃物若堆放、处置不当，将直接破坏矸石场现有生态环境。</w:t>
            </w:r>
          </w:p>
          <w:p>
            <w:pPr>
              <w:pStyle w:val="24"/>
              <w:rPr>
                <w:rFonts w:hint="eastAsia" w:eastAsia="宋体"/>
                <w:color w:val="auto"/>
                <w:lang w:eastAsia="zh-CN"/>
              </w:rPr>
            </w:pPr>
            <w:r>
              <w:rPr>
                <w:rFonts w:hint="eastAsia" w:ascii="宋体" w:hAnsi="宋体" w:cs="宋体"/>
                <w:color w:val="auto"/>
              </w:rPr>
              <w:t>①</w:t>
            </w:r>
            <w:r>
              <w:rPr>
                <w:rFonts w:hint="eastAsia"/>
                <w:color w:val="auto"/>
              </w:rPr>
              <w:t>施工弃土、弃石：项目施工过程中产生的弃土弃渣可以综合利用，不设专门的弃渣场</w:t>
            </w:r>
            <w:r>
              <w:rPr>
                <w:rFonts w:hint="eastAsia"/>
                <w:color w:val="auto"/>
                <w:lang w:eastAsia="zh-CN"/>
              </w:rPr>
              <w:t>；</w:t>
            </w:r>
          </w:p>
          <w:p>
            <w:pPr>
              <w:pStyle w:val="24"/>
              <w:rPr>
                <w:color w:val="auto"/>
              </w:rPr>
            </w:pPr>
            <w:r>
              <w:rPr>
                <w:rFonts w:hint="eastAsia" w:ascii="宋体" w:hAnsi="宋体" w:cs="宋体"/>
                <w:color w:val="auto"/>
              </w:rPr>
              <w:t>②</w:t>
            </w:r>
            <w:r>
              <w:rPr>
                <w:rFonts w:hint="eastAsia"/>
                <w:color w:val="auto"/>
              </w:rPr>
              <w:t>施工建筑垃圾：工程施工过程中产生施工建筑垃圾包括废弃包装、施工废砖石和改造弃除废砖石、废钢材等，产生量约为</w:t>
            </w:r>
            <w:r>
              <w:rPr>
                <w:color w:val="auto"/>
              </w:rPr>
              <w:t>25t</w:t>
            </w:r>
            <w:r>
              <w:rPr>
                <w:rFonts w:hint="eastAsia"/>
                <w:color w:val="auto"/>
                <w:lang w:eastAsia="zh-CN"/>
              </w:rPr>
              <w:t>。</w:t>
            </w:r>
            <w:r>
              <w:rPr>
                <w:rFonts w:hint="default" w:ascii="Times New Roman" w:hAnsi="Times New Roman" w:eastAsia="宋体" w:cs="Times New Roman"/>
                <w:color w:val="auto"/>
                <w:sz w:val="24"/>
                <w:szCs w:val="24"/>
                <w:highlight w:val="none"/>
              </w:rPr>
              <w:t>建筑垃圾集中收集，能综合利用的全部综合利用，不能利用的由建设单位负责运至政府指定地点；</w:t>
            </w:r>
          </w:p>
          <w:p>
            <w:pPr>
              <w:pStyle w:val="24"/>
              <w:adjustRightInd w:val="0"/>
              <w:snapToGrid w:val="0"/>
              <w:ind w:firstLine="560"/>
              <w:rPr>
                <w:rFonts w:hint="default" w:ascii="Times New Roman" w:hAnsi="Times New Roman" w:eastAsia="宋体" w:cs="Times New Roman"/>
                <w:color w:val="auto"/>
                <w:sz w:val="28"/>
                <w:szCs w:val="28"/>
                <w:highlight w:val="none"/>
              </w:rPr>
            </w:pPr>
            <w:r>
              <w:rPr>
                <w:rFonts w:hint="eastAsia" w:ascii="宋体" w:hAnsi="宋体" w:cs="宋体"/>
                <w:color w:val="auto"/>
              </w:rPr>
              <w:t>③</w:t>
            </w:r>
            <w:r>
              <w:rPr>
                <w:rFonts w:hint="eastAsia"/>
                <w:color w:val="auto"/>
              </w:rPr>
              <w:t>施工生活垃圾：</w:t>
            </w:r>
            <w:r>
              <w:rPr>
                <w:rFonts w:hint="eastAsia" w:eastAsia="宋体" w:cs="Times New Roman"/>
                <w:color w:val="auto"/>
                <w:sz w:val="24"/>
                <w:szCs w:val="24"/>
                <w:highlight w:val="none"/>
                <w:lang w:eastAsia="zh-CN"/>
              </w:rPr>
              <w:t>施工人员生活依托</w:t>
            </w:r>
            <w:r>
              <w:rPr>
                <w:rFonts w:hint="eastAsia" w:cs="Times New Roman"/>
                <w:color w:val="auto"/>
                <w:sz w:val="24"/>
                <w:szCs w:val="24"/>
                <w:highlight w:val="none"/>
                <w:lang w:eastAsia="zh-CN"/>
              </w:rPr>
              <w:t>王洼二矿工业场地</w:t>
            </w:r>
            <w:r>
              <w:rPr>
                <w:rFonts w:hint="eastAsia" w:eastAsia="宋体" w:cs="Times New Roman"/>
                <w:color w:val="auto"/>
                <w:sz w:val="24"/>
                <w:szCs w:val="24"/>
                <w:highlight w:val="none"/>
                <w:lang w:eastAsia="zh-CN"/>
              </w:rPr>
              <w:t>现有设施，不新增生活垃圾。</w:t>
            </w:r>
          </w:p>
          <w:p>
            <w:pPr>
              <w:pStyle w:val="24"/>
              <w:adjustRightInd w:val="0"/>
              <w:snapToGrid w:val="0"/>
              <w:rPr>
                <w:color w:val="auto"/>
                <w:sz w:val="28"/>
                <w:szCs w:val="28"/>
              </w:rPr>
            </w:pPr>
            <w:r>
              <w:rPr>
                <w:rFonts w:hint="eastAsia"/>
                <w:color w:val="auto"/>
              </w:rPr>
              <w:t>因此，施工期项目的固体废物排放是暂时的，随着施工结束影响结束，通过积极有效地施工管理，施工期固体废物对环境造成的影响较小</w:t>
            </w:r>
            <w:r>
              <w:rPr>
                <w:color w:val="auto"/>
              </w:rPr>
              <w:t>。</w:t>
            </w:r>
          </w:p>
          <w:p>
            <w:pPr>
              <w:adjustRightInd w:val="0"/>
              <w:snapToGrid w:val="0"/>
              <w:spacing w:line="360" w:lineRule="auto"/>
              <w:ind w:firstLine="482" w:firstLineChars="200"/>
              <w:rPr>
                <w:b/>
                <w:bCs/>
                <w:color w:val="auto"/>
                <w:kern w:val="0"/>
                <w:sz w:val="24"/>
                <w:szCs w:val="22"/>
              </w:rPr>
            </w:pPr>
            <w:r>
              <w:rPr>
                <w:b/>
                <w:bCs/>
                <w:color w:val="auto"/>
                <w:kern w:val="0"/>
                <w:sz w:val="24"/>
                <w:szCs w:val="22"/>
              </w:rPr>
              <w:t>5、地下水环境影响分析</w:t>
            </w:r>
          </w:p>
          <w:p>
            <w:pPr>
              <w:adjustRightInd w:val="0"/>
              <w:snapToGrid w:val="0"/>
              <w:spacing w:line="360" w:lineRule="auto"/>
              <w:ind w:firstLine="480" w:firstLineChars="200"/>
              <w:rPr>
                <w:b/>
                <w:color w:val="auto"/>
                <w:sz w:val="24"/>
              </w:rPr>
            </w:pPr>
            <w:r>
              <w:rPr>
                <w:rFonts w:hint="eastAsia"/>
                <w:color w:val="auto"/>
                <w:sz w:val="24"/>
              </w:rPr>
              <w:t>根据《环境影响评价技术导则地下水环境》（</w:t>
            </w:r>
            <w:r>
              <w:rPr>
                <w:color w:val="auto"/>
                <w:sz w:val="24"/>
              </w:rPr>
              <w:t>HJ 610-2016</w:t>
            </w:r>
            <w:r>
              <w:rPr>
                <w:rFonts w:hint="eastAsia"/>
                <w:color w:val="auto"/>
                <w:sz w:val="24"/>
              </w:rPr>
              <w:t>）附录</w:t>
            </w:r>
            <w:r>
              <w:rPr>
                <w:color w:val="auto"/>
                <w:sz w:val="24"/>
              </w:rPr>
              <w:t>A</w:t>
            </w:r>
            <w:r>
              <w:rPr>
                <w:rFonts w:hint="eastAsia"/>
                <w:color w:val="auto"/>
                <w:sz w:val="24"/>
              </w:rPr>
              <w:t>地下水环境影响评价行业分类表中的分类，本工程属于</w:t>
            </w:r>
            <w:r>
              <w:rPr>
                <w:color w:val="auto"/>
                <w:sz w:val="24"/>
              </w:rPr>
              <w:t>“A.</w:t>
            </w:r>
            <w:r>
              <w:rPr>
                <w:rFonts w:hint="eastAsia"/>
                <w:color w:val="auto"/>
                <w:sz w:val="24"/>
              </w:rPr>
              <w:t>水利中</w:t>
            </w:r>
            <w:r>
              <w:rPr>
                <w:color w:val="auto"/>
                <w:sz w:val="24"/>
              </w:rPr>
              <w:t>4</w:t>
            </w:r>
            <w:r>
              <w:rPr>
                <w:rFonts w:hint="eastAsia"/>
                <w:color w:val="auto"/>
                <w:sz w:val="24"/>
              </w:rPr>
              <w:t>、防洪治涝工程</w:t>
            </w:r>
            <w:r>
              <w:rPr>
                <w:color w:val="auto"/>
                <w:sz w:val="24"/>
              </w:rPr>
              <w:t>”</w:t>
            </w:r>
            <w:r>
              <w:rPr>
                <w:rFonts w:hint="eastAsia"/>
                <w:color w:val="auto"/>
                <w:sz w:val="24"/>
              </w:rPr>
              <w:t>评价类别为</w:t>
            </w:r>
            <w:r>
              <w:rPr>
                <w:color w:val="auto"/>
                <w:sz w:val="24"/>
              </w:rPr>
              <w:t>Ⅳ</w:t>
            </w:r>
            <w:r>
              <w:rPr>
                <w:rFonts w:hint="eastAsia"/>
                <w:color w:val="auto"/>
                <w:sz w:val="24"/>
              </w:rPr>
              <w:t>类，根据《环境影响评价技术导则地下水环境》（</w:t>
            </w:r>
            <w:r>
              <w:rPr>
                <w:color w:val="auto"/>
                <w:sz w:val="24"/>
              </w:rPr>
              <w:t>HJ 610-2016</w:t>
            </w:r>
            <w:r>
              <w:rPr>
                <w:rFonts w:hint="eastAsia"/>
                <w:color w:val="auto"/>
                <w:sz w:val="24"/>
              </w:rPr>
              <w:t>）中“</w:t>
            </w:r>
            <w:r>
              <w:rPr>
                <w:color w:val="auto"/>
                <w:sz w:val="24"/>
              </w:rPr>
              <w:t>4.1</w:t>
            </w:r>
            <w:r>
              <w:rPr>
                <w:rFonts w:hint="eastAsia"/>
                <w:color w:val="auto"/>
                <w:sz w:val="24"/>
              </w:rPr>
              <w:t>一般性原则，</w:t>
            </w:r>
            <w:r>
              <w:rPr>
                <w:color w:val="auto"/>
                <w:sz w:val="24"/>
              </w:rPr>
              <w:t>Ⅳ</w:t>
            </w:r>
            <w:r>
              <w:rPr>
                <w:rFonts w:hint="eastAsia"/>
                <w:color w:val="auto"/>
                <w:sz w:val="24"/>
              </w:rPr>
              <w:t>类建设项目可不开展地下水环境影响评价”。经分析，本项目运营期正常状况下无污染地下水途径，因此，本工程不开展地下水环境影响评价。</w:t>
            </w:r>
          </w:p>
          <w:p>
            <w:pPr>
              <w:adjustRightInd w:val="0"/>
              <w:snapToGrid w:val="0"/>
              <w:spacing w:line="360" w:lineRule="auto"/>
              <w:ind w:firstLine="482" w:firstLineChars="200"/>
              <w:rPr>
                <w:b/>
                <w:bCs/>
                <w:color w:val="auto"/>
                <w:kern w:val="0"/>
                <w:sz w:val="24"/>
                <w:szCs w:val="22"/>
              </w:rPr>
            </w:pPr>
            <w:r>
              <w:rPr>
                <w:b/>
                <w:bCs/>
                <w:color w:val="auto"/>
                <w:kern w:val="0"/>
                <w:sz w:val="24"/>
                <w:szCs w:val="22"/>
              </w:rPr>
              <w:t>6、土壤环境影响分析</w:t>
            </w:r>
          </w:p>
          <w:p>
            <w:pPr>
              <w:adjustRightInd w:val="0"/>
              <w:snapToGrid w:val="0"/>
              <w:spacing w:line="360" w:lineRule="auto"/>
              <w:ind w:firstLine="480" w:firstLineChars="200"/>
              <w:rPr>
                <w:color w:val="auto"/>
                <w:sz w:val="24"/>
              </w:rPr>
            </w:pPr>
            <w:r>
              <w:rPr>
                <w:color w:val="auto"/>
                <w:sz w:val="24"/>
              </w:rPr>
              <w:t>本项目为生态影响类项目，根据《环境影响评价技术导则土壤环境（试行）》规定</w:t>
            </w:r>
            <w:r>
              <w:rPr>
                <w:rFonts w:hint="eastAsia"/>
                <w:color w:val="auto"/>
                <w:sz w:val="24"/>
              </w:rPr>
              <w:t>，</w:t>
            </w:r>
            <w:r>
              <w:rPr>
                <w:color w:val="auto"/>
                <w:sz w:val="24"/>
              </w:rPr>
              <w:t>本项目</w:t>
            </w:r>
            <w:r>
              <w:rPr>
                <w:rFonts w:hint="eastAsia"/>
                <w:color w:val="auto"/>
                <w:sz w:val="24"/>
              </w:rPr>
              <w:t>不进行</w:t>
            </w:r>
            <w:r>
              <w:rPr>
                <w:color w:val="auto"/>
                <w:sz w:val="24"/>
              </w:rPr>
              <w:t>土壤</w:t>
            </w:r>
            <w:r>
              <w:rPr>
                <w:rFonts w:hint="eastAsia"/>
                <w:color w:val="auto"/>
                <w:sz w:val="24"/>
              </w:rPr>
              <w:t>环境影响</w:t>
            </w:r>
            <w:r>
              <w:rPr>
                <w:color w:val="auto"/>
                <w:sz w:val="24"/>
              </w:rPr>
              <w:t>评价。</w:t>
            </w:r>
          </w:p>
          <w:p>
            <w:pPr>
              <w:adjustRightInd w:val="0"/>
              <w:snapToGrid w:val="0"/>
              <w:spacing w:line="360" w:lineRule="auto"/>
              <w:ind w:firstLine="480" w:firstLineChars="200"/>
              <w:rPr>
                <w:color w:val="auto"/>
                <w:sz w:val="24"/>
              </w:rPr>
            </w:pPr>
            <w:r>
              <w:rPr>
                <w:rFonts w:hint="eastAsia"/>
                <w:color w:val="auto"/>
                <w:sz w:val="24"/>
              </w:rPr>
              <w:fldChar w:fldCharType="begin"/>
            </w:r>
            <w:r>
              <w:rPr>
                <w:rFonts w:hint="eastAsia"/>
                <w:color w:val="auto"/>
                <w:sz w:val="24"/>
              </w:rPr>
              <w:instrText xml:space="preserve"> = 1 \* GB2 \* MERGEFORMAT </w:instrText>
            </w:r>
            <w:r>
              <w:rPr>
                <w:rFonts w:hint="eastAsia"/>
                <w:color w:val="auto"/>
                <w:sz w:val="24"/>
              </w:rPr>
              <w:fldChar w:fldCharType="separate"/>
            </w:r>
            <w:r>
              <w:rPr>
                <w:color w:val="auto"/>
                <w:sz w:val="24"/>
              </w:rPr>
              <w:t>⑴</w:t>
            </w:r>
            <w:r>
              <w:rPr>
                <w:rFonts w:hint="eastAsia"/>
                <w:color w:val="auto"/>
                <w:sz w:val="24"/>
              </w:rPr>
              <w:fldChar w:fldCharType="end"/>
            </w:r>
            <w:r>
              <w:rPr>
                <w:color w:val="auto"/>
                <w:sz w:val="24"/>
              </w:rPr>
              <w:t>评价工作等级划分</w:t>
            </w:r>
          </w:p>
          <w:p>
            <w:pPr>
              <w:adjustRightInd w:val="0"/>
              <w:snapToGrid w:val="0"/>
              <w:spacing w:line="240" w:lineRule="atLeast"/>
              <w:jc w:val="center"/>
              <w:rPr>
                <w:b/>
                <w:color w:val="auto"/>
                <w:sz w:val="24"/>
              </w:rPr>
            </w:pPr>
            <w:r>
              <w:rPr>
                <w:b/>
                <w:color w:val="auto"/>
                <w:sz w:val="24"/>
              </w:rPr>
              <w:t>表4-</w:t>
            </w:r>
            <w:r>
              <w:rPr>
                <w:rFonts w:hint="eastAsia"/>
                <w:b/>
                <w:color w:val="auto"/>
                <w:sz w:val="24"/>
              </w:rPr>
              <w:t>3</w:t>
            </w:r>
            <w:r>
              <w:rPr>
                <w:b/>
                <w:color w:val="auto"/>
                <w:sz w:val="24"/>
              </w:rPr>
              <w:t xml:space="preserve">       </w:t>
            </w:r>
            <w:r>
              <w:rPr>
                <w:rFonts w:hint="eastAsia"/>
                <w:b/>
                <w:color w:val="auto"/>
                <w:sz w:val="24"/>
              </w:rPr>
              <w:t xml:space="preserve">  </w:t>
            </w:r>
            <w:r>
              <w:rPr>
                <w:b/>
                <w:color w:val="auto"/>
                <w:sz w:val="24"/>
              </w:rPr>
              <w:t>生态影响型敏感程度分级表</w:t>
            </w:r>
          </w:p>
          <w:tbl>
            <w:tblPr>
              <w:tblStyle w:val="1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4150"/>
              <w:gridCol w:w="1439"/>
              <w:gridCol w:w="14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3" w:type="pct"/>
                  <w:vMerge w:val="restart"/>
                  <w:vAlign w:val="center"/>
                </w:tcPr>
                <w:p>
                  <w:pPr>
                    <w:adjustRightInd w:val="0"/>
                    <w:snapToGrid w:val="0"/>
                    <w:spacing w:line="240" w:lineRule="atLeast"/>
                    <w:jc w:val="center"/>
                    <w:rPr>
                      <w:b/>
                      <w:bCs/>
                      <w:color w:val="auto"/>
                      <w:szCs w:val="21"/>
                    </w:rPr>
                  </w:pPr>
                  <w:r>
                    <w:rPr>
                      <w:b/>
                      <w:bCs/>
                      <w:color w:val="auto"/>
                      <w:szCs w:val="21"/>
                    </w:rPr>
                    <w:t>敏感程度</w:t>
                  </w:r>
                </w:p>
              </w:tc>
              <w:tc>
                <w:tcPr>
                  <w:tcW w:w="4426" w:type="pct"/>
                  <w:gridSpan w:val="3"/>
                  <w:vAlign w:val="center"/>
                </w:tcPr>
                <w:p>
                  <w:pPr>
                    <w:adjustRightInd w:val="0"/>
                    <w:snapToGrid w:val="0"/>
                    <w:spacing w:line="240" w:lineRule="atLeast"/>
                    <w:jc w:val="center"/>
                    <w:rPr>
                      <w:b/>
                      <w:bCs/>
                      <w:color w:val="auto"/>
                      <w:szCs w:val="21"/>
                    </w:rPr>
                  </w:pPr>
                  <w:r>
                    <w:rPr>
                      <w:b/>
                      <w:bCs/>
                      <w:color w:val="auto"/>
                      <w:szCs w:val="21"/>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3" w:type="pct"/>
                  <w:vMerge w:val="continue"/>
                  <w:vAlign w:val="center"/>
                </w:tcPr>
                <w:p>
                  <w:pPr>
                    <w:adjustRightInd w:val="0"/>
                    <w:snapToGrid w:val="0"/>
                    <w:spacing w:line="240" w:lineRule="atLeast"/>
                    <w:jc w:val="center"/>
                    <w:rPr>
                      <w:b/>
                      <w:bCs/>
                      <w:color w:val="auto"/>
                      <w:szCs w:val="21"/>
                    </w:rPr>
                  </w:pPr>
                </w:p>
              </w:tc>
              <w:tc>
                <w:tcPr>
                  <w:tcW w:w="2610" w:type="pct"/>
                  <w:vAlign w:val="center"/>
                </w:tcPr>
                <w:p>
                  <w:pPr>
                    <w:adjustRightInd w:val="0"/>
                    <w:snapToGrid w:val="0"/>
                    <w:spacing w:line="240" w:lineRule="atLeast"/>
                    <w:jc w:val="center"/>
                    <w:rPr>
                      <w:b/>
                      <w:bCs/>
                      <w:color w:val="auto"/>
                      <w:szCs w:val="21"/>
                    </w:rPr>
                  </w:pPr>
                  <w:r>
                    <w:rPr>
                      <w:b/>
                      <w:bCs/>
                      <w:color w:val="auto"/>
                      <w:szCs w:val="21"/>
                    </w:rPr>
                    <w:t>盐化</w:t>
                  </w:r>
                </w:p>
              </w:tc>
              <w:tc>
                <w:tcPr>
                  <w:tcW w:w="905" w:type="pct"/>
                  <w:vAlign w:val="center"/>
                </w:tcPr>
                <w:p>
                  <w:pPr>
                    <w:adjustRightInd w:val="0"/>
                    <w:snapToGrid w:val="0"/>
                    <w:spacing w:line="240" w:lineRule="atLeast"/>
                    <w:jc w:val="center"/>
                    <w:rPr>
                      <w:b/>
                      <w:bCs/>
                      <w:color w:val="auto"/>
                      <w:szCs w:val="21"/>
                    </w:rPr>
                  </w:pPr>
                  <w:r>
                    <w:rPr>
                      <w:b/>
                      <w:bCs/>
                      <w:color w:val="auto"/>
                      <w:szCs w:val="21"/>
                    </w:rPr>
                    <w:t>酸化</w:t>
                  </w:r>
                </w:p>
              </w:tc>
              <w:tc>
                <w:tcPr>
                  <w:tcW w:w="911" w:type="pct"/>
                  <w:vAlign w:val="center"/>
                </w:tcPr>
                <w:p>
                  <w:pPr>
                    <w:adjustRightInd w:val="0"/>
                    <w:snapToGrid w:val="0"/>
                    <w:spacing w:line="240" w:lineRule="atLeast"/>
                    <w:jc w:val="center"/>
                    <w:rPr>
                      <w:b/>
                      <w:bCs/>
                      <w:color w:val="auto"/>
                      <w:szCs w:val="21"/>
                    </w:rPr>
                  </w:pPr>
                  <w:r>
                    <w:rPr>
                      <w:b/>
                      <w:bCs/>
                      <w:color w:val="auto"/>
                      <w:szCs w:val="21"/>
                    </w:rPr>
                    <w:t>碱化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3" w:type="pct"/>
                  <w:vAlign w:val="center"/>
                </w:tcPr>
                <w:p>
                  <w:pPr>
                    <w:adjustRightInd w:val="0"/>
                    <w:snapToGrid w:val="0"/>
                    <w:spacing w:line="240" w:lineRule="atLeast"/>
                    <w:jc w:val="center"/>
                    <w:rPr>
                      <w:color w:val="auto"/>
                      <w:szCs w:val="21"/>
                    </w:rPr>
                  </w:pPr>
                  <w:r>
                    <w:rPr>
                      <w:color w:val="auto"/>
                      <w:szCs w:val="21"/>
                    </w:rPr>
                    <w:t>敏感</w:t>
                  </w:r>
                </w:p>
              </w:tc>
              <w:tc>
                <w:tcPr>
                  <w:tcW w:w="2610" w:type="pct"/>
                  <w:vAlign w:val="center"/>
                </w:tcPr>
                <w:p>
                  <w:pPr>
                    <w:adjustRightInd w:val="0"/>
                    <w:snapToGrid w:val="0"/>
                    <w:spacing w:line="240" w:lineRule="atLeast"/>
                    <w:jc w:val="center"/>
                    <w:rPr>
                      <w:color w:val="auto"/>
                      <w:szCs w:val="21"/>
                    </w:rPr>
                  </w:pPr>
                  <w:r>
                    <w:rPr>
                      <w:color w:val="auto"/>
                      <w:szCs w:val="21"/>
                    </w:rPr>
                    <w:t>建设项目所在地干燥度</w:t>
                  </w:r>
                  <w:r>
                    <w:rPr>
                      <w:color w:val="auto"/>
                      <w:szCs w:val="21"/>
                      <w:vertAlign w:val="superscript"/>
                    </w:rPr>
                    <w:t>a</w:t>
                  </w:r>
                  <w:r>
                    <w:rPr>
                      <w:color w:val="auto"/>
                      <w:szCs w:val="21"/>
                    </w:rPr>
                    <w:t>&gt;2.5且常年地下水位平均埋深&lt;1.5m的地势平坦区域；或土壤含盐量&gt;4g/kg的区域</w:t>
                  </w:r>
                </w:p>
              </w:tc>
              <w:tc>
                <w:tcPr>
                  <w:tcW w:w="905" w:type="pct"/>
                  <w:vAlign w:val="center"/>
                </w:tcPr>
                <w:p>
                  <w:pPr>
                    <w:adjustRightInd w:val="0"/>
                    <w:snapToGrid w:val="0"/>
                    <w:spacing w:line="240" w:lineRule="atLeast"/>
                    <w:jc w:val="center"/>
                    <w:rPr>
                      <w:color w:val="auto"/>
                      <w:szCs w:val="21"/>
                    </w:rPr>
                  </w:pPr>
                  <w:r>
                    <w:rPr>
                      <w:color w:val="auto"/>
                      <w:szCs w:val="21"/>
                    </w:rPr>
                    <w:t>pH≤4.5</w:t>
                  </w:r>
                </w:p>
              </w:tc>
              <w:tc>
                <w:tcPr>
                  <w:tcW w:w="911" w:type="pct"/>
                  <w:vAlign w:val="center"/>
                </w:tcPr>
                <w:p>
                  <w:pPr>
                    <w:adjustRightInd w:val="0"/>
                    <w:snapToGrid w:val="0"/>
                    <w:spacing w:line="240" w:lineRule="atLeast"/>
                    <w:jc w:val="center"/>
                    <w:rPr>
                      <w:color w:val="auto"/>
                      <w:szCs w:val="21"/>
                    </w:rPr>
                  </w:pPr>
                  <w:r>
                    <w:rPr>
                      <w:color w:val="auto"/>
                      <w:szCs w:val="21"/>
                    </w:rPr>
                    <w:t>pH≥9.0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3" w:type="pct"/>
                  <w:vAlign w:val="center"/>
                </w:tcPr>
                <w:p>
                  <w:pPr>
                    <w:adjustRightInd w:val="0"/>
                    <w:snapToGrid w:val="0"/>
                    <w:spacing w:line="240" w:lineRule="atLeast"/>
                    <w:jc w:val="center"/>
                    <w:rPr>
                      <w:color w:val="auto"/>
                      <w:szCs w:val="21"/>
                    </w:rPr>
                  </w:pPr>
                  <w:r>
                    <w:rPr>
                      <w:color w:val="auto"/>
                      <w:szCs w:val="21"/>
                    </w:rPr>
                    <w:t>较敏感</w:t>
                  </w:r>
                </w:p>
              </w:tc>
              <w:tc>
                <w:tcPr>
                  <w:tcW w:w="2610" w:type="pct"/>
                  <w:vAlign w:val="center"/>
                </w:tcPr>
                <w:p>
                  <w:pPr>
                    <w:adjustRightInd w:val="0"/>
                    <w:snapToGrid w:val="0"/>
                    <w:spacing w:line="240" w:lineRule="atLeast"/>
                    <w:jc w:val="center"/>
                    <w:rPr>
                      <w:color w:val="auto"/>
                      <w:szCs w:val="21"/>
                    </w:rPr>
                  </w:pPr>
                  <w:r>
                    <w:rPr>
                      <w:color w:val="auto"/>
                      <w:szCs w:val="21"/>
                    </w:rPr>
                    <w:t>建设项目所在地干燥度&gt;2.5且常年地下水位平均埋深≥1.5m的,或1.8&lt;干燥度≤2.5且常年地下水平均埋深&lt;1.8m的地势平坦区域；地下水位平均埋深&lt;1.5m的平原区；或2g/kg&lt;土壤含盐量≤4g/kg的区域</w:t>
                  </w:r>
                </w:p>
              </w:tc>
              <w:tc>
                <w:tcPr>
                  <w:tcW w:w="905" w:type="pct"/>
                  <w:vAlign w:val="center"/>
                </w:tcPr>
                <w:p>
                  <w:pPr>
                    <w:adjustRightInd w:val="0"/>
                    <w:snapToGrid w:val="0"/>
                    <w:spacing w:line="240" w:lineRule="atLeast"/>
                    <w:jc w:val="center"/>
                    <w:rPr>
                      <w:color w:val="auto"/>
                      <w:szCs w:val="21"/>
                    </w:rPr>
                  </w:pPr>
                  <w:r>
                    <w:rPr>
                      <w:color w:val="auto"/>
                      <w:szCs w:val="21"/>
                    </w:rPr>
                    <w:t>4.5&lt;pH≤5.5</w:t>
                  </w:r>
                </w:p>
              </w:tc>
              <w:tc>
                <w:tcPr>
                  <w:tcW w:w="911" w:type="pct"/>
                  <w:vAlign w:val="center"/>
                </w:tcPr>
                <w:p>
                  <w:pPr>
                    <w:adjustRightInd w:val="0"/>
                    <w:snapToGrid w:val="0"/>
                    <w:spacing w:line="240" w:lineRule="atLeast"/>
                    <w:jc w:val="center"/>
                    <w:rPr>
                      <w:color w:val="auto"/>
                      <w:szCs w:val="21"/>
                    </w:rPr>
                  </w:pPr>
                  <w:r>
                    <w:rPr>
                      <w:color w:val="auto"/>
                      <w:szCs w:val="21"/>
                    </w:rPr>
                    <w:t>8.5≤pH&lt;9.0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3" w:type="pct"/>
                  <w:vAlign w:val="center"/>
                </w:tcPr>
                <w:p>
                  <w:pPr>
                    <w:adjustRightInd w:val="0"/>
                    <w:snapToGrid w:val="0"/>
                    <w:spacing w:line="240" w:lineRule="atLeast"/>
                    <w:jc w:val="center"/>
                    <w:rPr>
                      <w:color w:val="auto"/>
                      <w:szCs w:val="21"/>
                    </w:rPr>
                  </w:pPr>
                  <w:r>
                    <w:rPr>
                      <w:color w:val="auto"/>
                      <w:szCs w:val="21"/>
                    </w:rPr>
                    <w:t>不敏感</w:t>
                  </w:r>
                </w:p>
              </w:tc>
              <w:tc>
                <w:tcPr>
                  <w:tcW w:w="2610" w:type="pct"/>
                  <w:vAlign w:val="center"/>
                </w:tcPr>
                <w:p>
                  <w:pPr>
                    <w:adjustRightInd w:val="0"/>
                    <w:snapToGrid w:val="0"/>
                    <w:spacing w:line="240" w:lineRule="atLeast"/>
                    <w:jc w:val="center"/>
                    <w:rPr>
                      <w:color w:val="auto"/>
                      <w:szCs w:val="21"/>
                    </w:rPr>
                  </w:pPr>
                  <w:r>
                    <w:rPr>
                      <w:color w:val="auto"/>
                      <w:szCs w:val="21"/>
                    </w:rPr>
                    <w:t>其他</w:t>
                  </w:r>
                </w:p>
              </w:tc>
              <w:tc>
                <w:tcPr>
                  <w:tcW w:w="1816" w:type="pct"/>
                  <w:gridSpan w:val="2"/>
                  <w:vAlign w:val="center"/>
                </w:tcPr>
                <w:p>
                  <w:pPr>
                    <w:adjustRightInd w:val="0"/>
                    <w:snapToGrid w:val="0"/>
                    <w:spacing w:line="240" w:lineRule="atLeast"/>
                    <w:jc w:val="center"/>
                    <w:rPr>
                      <w:color w:val="auto"/>
                      <w:szCs w:val="21"/>
                    </w:rPr>
                  </w:pPr>
                  <w:r>
                    <w:rPr>
                      <w:color w:val="auto"/>
                      <w:szCs w:val="21"/>
                    </w:rPr>
                    <w:t>4.5&lt;pH&lt;8.5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4"/>
                  <w:vAlign w:val="center"/>
                </w:tcPr>
                <w:p>
                  <w:pPr>
                    <w:adjustRightInd w:val="0"/>
                    <w:snapToGrid w:val="0"/>
                    <w:spacing w:line="240" w:lineRule="atLeast"/>
                    <w:jc w:val="center"/>
                    <w:rPr>
                      <w:color w:val="auto"/>
                      <w:szCs w:val="21"/>
                    </w:rPr>
                  </w:pPr>
                  <w:r>
                    <w:rPr>
                      <w:color w:val="auto"/>
                      <w:szCs w:val="21"/>
                      <w:vertAlign w:val="superscript"/>
                    </w:rPr>
                    <w:t>a</w:t>
                  </w:r>
                  <w:r>
                    <w:rPr>
                      <w:color w:val="auto"/>
                      <w:szCs w:val="21"/>
                    </w:rPr>
                    <w:t>是指采用E601观测的多年平均水面蒸发量与降水量的比值，即蒸降比值。</w:t>
                  </w:r>
                </w:p>
              </w:tc>
            </w:tr>
          </w:tbl>
          <w:p>
            <w:pPr>
              <w:adjustRightInd w:val="0"/>
              <w:snapToGrid w:val="0"/>
              <w:spacing w:line="240" w:lineRule="atLeast"/>
              <w:ind w:firstLine="1928" w:firstLineChars="800"/>
              <w:rPr>
                <w:b/>
                <w:color w:val="auto"/>
                <w:sz w:val="24"/>
              </w:rPr>
            </w:pPr>
            <w:r>
              <w:rPr>
                <w:b/>
                <w:color w:val="auto"/>
                <w:sz w:val="24"/>
              </w:rPr>
              <w:t>表4-</w:t>
            </w:r>
            <w:r>
              <w:rPr>
                <w:rFonts w:hint="eastAsia"/>
                <w:b/>
                <w:color w:val="auto"/>
                <w:sz w:val="24"/>
              </w:rPr>
              <w:t>4</w:t>
            </w:r>
            <w:r>
              <w:rPr>
                <w:b/>
                <w:color w:val="auto"/>
                <w:sz w:val="24"/>
              </w:rPr>
              <w:t xml:space="preserve">   生态影响型评价工作等级划分表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5"/>
              <w:gridCol w:w="1751"/>
              <w:gridCol w:w="1988"/>
              <w:gridCol w:w="19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9" w:type="pct"/>
                  <w:vAlign w:val="center"/>
                </w:tcPr>
                <w:p>
                  <w:pPr>
                    <w:adjustRightInd w:val="0"/>
                    <w:snapToGrid w:val="0"/>
                    <w:spacing w:line="240" w:lineRule="atLeast"/>
                    <w:jc w:val="center"/>
                    <w:rPr>
                      <w:b/>
                      <w:bCs/>
                      <w:color w:val="auto"/>
                      <w:szCs w:val="21"/>
                    </w:rPr>
                  </w:pPr>
                  <w:r>
                    <w:rPr>
                      <w:rFonts w:hint="eastAsia"/>
                      <w:b/>
                      <w:bCs/>
                      <w:color w:val="auto"/>
                      <w:szCs w:val="21"/>
                    </w:rPr>
                    <w:t>敏感程度</w:t>
                  </w:r>
                </w:p>
                <w:p>
                  <w:pPr>
                    <w:adjustRightInd w:val="0"/>
                    <w:snapToGrid w:val="0"/>
                    <w:spacing w:line="240" w:lineRule="atLeast"/>
                    <w:jc w:val="center"/>
                    <w:rPr>
                      <w:b/>
                      <w:bCs/>
                      <w:color w:val="auto"/>
                      <w:szCs w:val="21"/>
                    </w:rPr>
                  </w:pPr>
                  <w:r>
                    <w:rPr>
                      <w:rFonts w:hint="eastAsia"/>
                      <w:b/>
                      <w:bCs/>
                      <w:color w:val="auto"/>
                      <w:szCs w:val="21"/>
                    </w:rPr>
                    <w:t>评价工作等级</w:t>
                  </w:r>
                </w:p>
                <w:p>
                  <w:pPr>
                    <w:adjustRightInd w:val="0"/>
                    <w:snapToGrid w:val="0"/>
                    <w:spacing w:line="240" w:lineRule="atLeast"/>
                    <w:rPr>
                      <w:b/>
                      <w:bCs/>
                      <w:color w:val="auto"/>
                      <w:szCs w:val="21"/>
                    </w:rPr>
                  </w:pPr>
                  <w:r>
                    <w:rPr>
                      <w:rFonts w:hint="eastAsia"/>
                      <w:b/>
                      <w:bCs/>
                      <w:color w:val="auto"/>
                      <w:szCs w:val="21"/>
                    </w:rPr>
                    <w:t>项目类别</w:t>
                  </w:r>
                </w:p>
              </w:tc>
              <w:tc>
                <w:tcPr>
                  <w:tcW w:w="1101" w:type="pct"/>
                  <w:vAlign w:val="center"/>
                </w:tcPr>
                <w:p>
                  <w:pPr>
                    <w:adjustRightInd w:val="0"/>
                    <w:snapToGrid w:val="0"/>
                    <w:spacing w:line="240" w:lineRule="atLeast"/>
                    <w:jc w:val="center"/>
                    <w:rPr>
                      <w:b/>
                      <w:bCs/>
                      <w:color w:val="auto"/>
                      <w:szCs w:val="21"/>
                    </w:rPr>
                  </w:pPr>
                  <w:r>
                    <w:rPr>
                      <w:b/>
                      <w:bCs/>
                      <w:color w:val="auto"/>
                      <w:szCs w:val="21"/>
                    </w:rPr>
                    <w:t>Ⅰ</w:t>
                  </w:r>
                  <w:r>
                    <w:rPr>
                      <w:rFonts w:hint="eastAsia"/>
                      <w:b/>
                      <w:bCs/>
                      <w:color w:val="auto"/>
                      <w:szCs w:val="21"/>
                    </w:rPr>
                    <w:t>类</w:t>
                  </w:r>
                </w:p>
              </w:tc>
              <w:tc>
                <w:tcPr>
                  <w:tcW w:w="1250" w:type="pct"/>
                  <w:vAlign w:val="center"/>
                </w:tcPr>
                <w:p>
                  <w:pPr>
                    <w:adjustRightInd w:val="0"/>
                    <w:snapToGrid w:val="0"/>
                    <w:spacing w:line="240" w:lineRule="atLeast"/>
                    <w:jc w:val="center"/>
                    <w:rPr>
                      <w:b/>
                      <w:bCs/>
                      <w:color w:val="auto"/>
                      <w:szCs w:val="21"/>
                    </w:rPr>
                  </w:pPr>
                  <w:r>
                    <w:rPr>
                      <w:b/>
                      <w:bCs/>
                      <w:color w:val="auto"/>
                      <w:szCs w:val="21"/>
                    </w:rPr>
                    <w:t>Ⅱ</w:t>
                  </w:r>
                  <w:r>
                    <w:rPr>
                      <w:rFonts w:hint="eastAsia"/>
                      <w:b/>
                      <w:bCs/>
                      <w:color w:val="auto"/>
                      <w:szCs w:val="21"/>
                    </w:rPr>
                    <w:t>类</w:t>
                  </w:r>
                </w:p>
              </w:tc>
              <w:tc>
                <w:tcPr>
                  <w:tcW w:w="1250" w:type="pct"/>
                  <w:vAlign w:val="center"/>
                </w:tcPr>
                <w:p>
                  <w:pPr>
                    <w:adjustRightInd w:val="0"/>
                    <w:snapToGrid w:val="0"/>
                    <w:spacing w:line="240" w:lineRule="atLeast"/>
                    <w:jc w:val="center"/>
                    <w:rPr>
                      <w:b/>
                      <w:bCs/>
                      <w:color w:val="auto"/>
                      <w:szCs w:val="21"/>
                    </w:rPr>
                  </w:pPr>
                  <w:r>
                    <w:rPr>
                      <w:b/>
                      <w:bCs/>
                      <w:color w:val="auto"/>
                      <w:szCs w:val="21"/>
                    </w:rPr>
                    <w:t>Ⅲ</w:t>
                  </w:r>
                  <w:r>
                    <w:rPr>
                      <w:rFonts w:hint="eastAsia"/>
                      <w:b/>
                      <w:bCs/>
                      <w:color w:val="auto"/>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9" w:type="pct"/>
                  <w:vAlign w:val="center"/>
                </w:tcPr>
                <w:p>
                  <w:pPr>
                    <w:adjustRightInd w:val="0"/>
                    <w:snapToGrid w:val="0"/>
                    <w:spacing w:line="240" w:lineRule="atLeast"/>
                    <w:jc w:val="center"/>
                    <w:rPr>
                      <w:color w:val="auto"/>
                      <w:szCs w:val="21"/>
                    </w:rPr>
                  </w:pPr>
                  <w:r>
                    <w:rPr>
                      <w:rFonts w:hint="eastAsia"/>
                      <w:color w:val="auto"/>
                      <w:szCs w:val="21"/>
                    </w:rPr>
                    <w:t>敏感</w:t>
                  </w:r>
                </w:p>
              </w:tc>
              <w:tc>
                <w:tcPr>
                  <w:tcW w:w="1101" w:type="pct"/>
                  <w:vAlign w:val="center"/>
                </w:tcPr>
                <w:p>
                  <w:pPr>
                    <w:adjustRightInd w:val="0"/>
                    <w:snapToGrid w:val="0"/>
                    <w:spacing w:line="240" w:lineRule="atLeast"/>
                    <w:jc w:val="center"/>
                    <w:rPr>
                      <w:color w:val="auto"/>
                      <w:szCs w:val="21"/>
                    </w:rPr>
                  </w:pPr>
                  <w:r>
                    <w:rPr>
                      <w:rFonts w:hint="eastAsia"/>
                      <w:color w:val="auto"/>
                      <w:szCs w:val="21"/>
                    </w:rPr>
                    <w:t>一级</w:t>
                  </w:r>
                </w:p>
              </w:tc>
              <w:tc>
                <w:tcPr>
                  <w:tcW w:w="1250" w:type="pct"/>
                  <w:vAlign w:val="center"/>
                </w:tcPr>
                <w:p>
                  <w:pPr>
                    <w:adjustRightInd w:val="0"/>
                    <w:snapToGrid w:val="0"/>
                    <w:spacing w:line="240" w:lineRule="atLeast"/>
                    <w:jc w:val="center"/>
                    <w:rPr>
                      <w:color w:val="auto"/>
                      <w:szCs w:val="21"/>
                    </w:rPr>
                  </w:pPr>
                  <w:r>
                    <w:rPr>
                      <w:rFonts w:hint="eastAsia"/>
                      <w:color w:val="auto"/>
                      <w:szCs w:val="21"/>
                    </w:rPr>
                    <w:t>二级</w:t>
                  </w:r>
                </w:p>
              </w:tc>
              <w:tc>
                <w:tcPr>
                  <w:tcW w:w="1250" w:type="pct"/>
                  <w:vAlign w:val="center"/>
                </w:tcPr>
                <w:p>
                  <w:pPr>
                    <w:adjustRightInd w:val="0"/>
                    <w:snapToGrid w:val="0"/>
                    <w:spacing w:line="240" w:lineRule="atLeast"/>
                    <w:jc w:val="center"/>
                    <w:rPr>
                      <w:color w:val="auto"/>
                      <w:szCs w:val="21"/>
                    </w:rPr>
                  </w:pPr>
                  <w:r>
                    <w:rPr>
                      <w:rFonts w:hint="eastAsia"/>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9" w:type="pct"/>
                  <w:vAlign w:val="center"/>
                </w:tcPr>
                <w:p>
                  <w:pPr>
                    <w:adjustRightInd w:val="0"/>
                    <w:snapToGrid w:val="0"/>
                    <w:spacing w:line="240" w:lineRule="atLeast"/>
                    <w:jc w:val="center"/>
                    <w:rPr>
                      <w:b/>
                      <w:bCs/>
                      <w:color w:val="auto"/>
                      <w:szCs w:val="21"/>
                    </w:rPr>
                  </w:pPr>
                  <w:r>
                    <w:rPr>
                      <w:rFonts w:hint="eastAsia"/>
                      <w:color w:val="auto"/>
                      <w:szCs w:val="21"/>
                    </w:rPr>
                    <w:t>较敏感</w:t>
                  </w:r>
                </w:p>
              </w:tc>
              <w:tc>
                <w:tcPr>
                  <w:tcW w:w="1101" w:type="pct"/>
                  <w:vAlign w:val="center"/>
                </w:tcPr>
                <w:p>
                  <w:pPr>
                    <w:adjustRightInd w:val="0"/>
                    <w:snapToGrid w:val="0"/>
                    <w:spacing w:line="240" w:lineRule="atLeast"/>
                    <w:jc w:val="center"/>
                    <w:rPr>
                      <w:color w:val="auto"/>
                      <w:szCs w:val="21"/>
                    </w:rPr>
                  </w:pPr>
                  <w:r>
                    <w:rPr>
                      <w:rFonts w:hint="eastAsia"/>
                      <w:color w:val="auto"/>
                      <w:szCs w:val="21"/>
                    </w:rPr>
                    <w:t>二级</w:t>
                  </w:r>
                </w:p>
              </w:tc>
              <w:tc>
                <w:tcPr>
                  <w:tcW w:w="1250" w:type="pct"/>
                  <w:vAlign w:val="center"/>
                </w:tcPr>
                <w:p>
                  <w:pPr>
                    <w:adjustRightInd w:val="0"/>
                    <w:snapToGrid w:val="0"/>
                    <w:spacing w:line="240" w:lineRule="atLeast"/>
                    <w:jc w:val="center"/>
                    <w:rPr>
                      <w:color w:val="auto"/>
                      <w:szCs w:val="21"/>
                    </w:rPr>
                  </w:pPr>
                  <w:r>
                    <w:rPr>
                      <w:rFonts w:hint="eastAsia"/>
                      <w:color w:val="auto"/>
                      <w:szCs w:val="21"/>
                    </w:rPr>
                    <w:t>二级</w:t>
                  </w:r>
                </w:p>
              </w:tc>
              <w:tc>
                <w:tcPr>
                  <w:tcW w:w="1250" w:type="pct"/>
                  <w:vAlign w:val="center"/>
                </w:tcPr>
                <w:p>
                  <w:pPr>
                    <w:adjustRightInd w:val="0"/>
                    <w:snapToGrid w:val="0"/>
                    <w:spacing w:line="240" w:lineRule="atLeast"/>
                    <w:jc w:val="center"/>
                    <w:rPr>
                      <w:color w:val="auto"/>
                      <w:szCs w:val="21"/>
                    </w:rPr>
                  </w:pPr>
                  <w:r>
                    <w:rPr>
                      <w:rFonts w:hint="eastAsia"/>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9" w:type="pct"/>
                  <w:vAlign w:val="center"/>
                </w:tcPr>
                <w:p>
                  <w:pPr>
                    <w:adjustRightInd w:val="0"/>
                    <w:snapToGrid w:val="0"/>
                    <w:spacing w:line="240" w:lineRule="atLeast"/>
                    <w:jc w:val="center"/>
                    <w:rPr>
                      <w:color w:val="auto"/>
                      <w:szCs w:val="21"/>
                    </w:rPr>
                  </w:pPr>
                  <w:r>
                    <w:rPr>
                      <w:rFonts w:hint="eastAsia"/>
                      <w:color w:val="auto"/>
                      <w:szCs w:val="21"/>
                    </w:rPr>
                    <w:t>不敏感</w:t>
                  </w:r>
                </w:p>
              </w:tc>
              <w:tc>
                <w:tcPr>
                  <w:tcW w:w="1101" w:type="pct"/>
                  <w:vAlign w:val="center"/>
                </w:tcPr>
                <w:p>
                  <w:pPr>
                    <w:adjustRightInd w:val="0"/>
                    <w:snapToGrid w:val="0"/>
                    <w:spacing w:line="240" w:lineRule="atLeast"/>
                    <w:jc w:val="center"/>
                    <w:rPr>
                      <w:color w:val="auto"/>
                      <w:szCs w:val="21"/>
                    </w:rPr>
                  </w:pPr>
                  <w:r>
                    <w:rPr>
                      <w:rFonts w:hint="eastAsia"/>
                      <w:color w:val="auto"/>
                      <w:szCs w:val="21"/>
                    </w:rPr>
                    <w:t>二级</w:t>
                  </w:r>
                </w:p>
              </w:tc>
              <w:tc>
                <w:tcPr>
                  <w:tcW w:w="1250" w:type="pct"/>
                  <w:vAlign w:val="center"/>
                </w:tcPr>
                <w:p>
                  <w:pPr>
                    <w:adjustRightInd w:val="0"/>
                    <w:snapToGrid w:val="0"/>
                    <w:spacing w:line="240" w:lineRule="atLeast"/>
                    <w:jc w:val="center"/>
                    <w:rPr>
                      <w:color w:val="auto"/>
                      <w:szCs w:val="21"/>
                    </w:rPr>
                  </w:pPr>
                  <w:r>
                    <w:rPr>
                      <w:rFonts w:hint="eastAsia"/>
                      <w:color w:val="auto"/>
                      <w:szCs w:val="21"/>
                    </w:rPr>
                    <w:t>三级</w:t>
                  </w:r>
                </w:p>
              </w:tc>
              <w:tc>
                <w:tcPr>
                  <w:tcW w:w="1250" w:type="pct"/>
                  <w:shd w:val="clear" w:color="auto" w:fill="CFCECE" w:themeFill="background2" w:themeFillShade="E5"/>
                  <w:vAlign w:val="center"/>
                </w:tcPr>
                <w:p>
                  <w:pPr>
                    <w:adjustRightInd w:val="0"/>
                    <w:snapToGrid w:val="0"/>
                    <w:spacing w:line="240" w:lineRule="atLeast"/>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vAlign w:val="center"/>
                </w:tcPr>
                <w:p>
                  <w:pPr>
                    <w:adjustRightInd w:val="0"/>
                    <w:snapToGrid w:val="0"/>
                    <w:spacing w:line="240" w:lineRule="atLeast"/>
                    <w:rPr>
                      <w:color w:val="auto"/>
                      <w:szCs w:val="21"/>
                    </w:rPr>
                  </w:pPr>
                  <w:r>
                    <w:rPr>
                      <w:rFonts w:hint="eastAsia"/>
                      <w:color w:val="auto"/>
                      <w:szCs w:val="21"/>
                    </w:rPr>
                    <w:t>注：“-”表示可不开展土壤环境影响评价工作。</w:t>
                  </w:r>
                </w:p>
              </w:tc>
            </w:tr>
          </w:tbl>
          <w:p>
            <w:pPr>
              <w:adjustRightInd w:val="0"/>
              <w:snapToGrid w:val="0"/>
              <w:spacing w:line="360" w:lineRule="auto"/>
              <w:ind w:firstLine="480" w:firstLineChars="200"/>
              <w:rPr>
                <w:color w:val="auto"/>
                <w:sz w:val="24"/>
              </w:rPr>
            </w:pPr>
            <w:r>
              <w:rPr>
                <w:rFonts w:hint="eastAsia"/>
                <w:color w:val="auto"/>
                <w:sz w:val="24"/>
              </w:rPr>
              <w:fldChar w:fldCharType="begin"/>
            </w:r>
            <w:r>
              <w:rPr>
                <w:rFonts w:hint="eastAsia"/>
                <w:color w:val="auto"/>
                <w:sz w:val="24"/>
              </w:rPr>
              <w:instrText xml:space="preserve"> = 2 \* GB2 \* MERGEFORMAT </w:instrText>
            </w:r>
            <w:r>
              <w:rPr>
                <w:rFonts w:hint="eastAsia"/>
                <w:color w:val="auto"/>
                <w:sz w:val="24"/>
              </w:rPr>
              <w:fldChar w:fldCharType="separate"/>
            </w:r>
            <w:r>
              <w:rPr>
                <w:rFonts w:hint="eastAsia"/>
                <w:color w:val="auto"/>
                <w:sz w:val="24"/>
              </w:rPr>
              <w:t>⑵</w:t>
            </w:r>
            <w:r>
              <w:rPr>
                <w:rFonts w:hint="eastAsia"/>
                <w:color w:val="auto"/>
                <w:sz w:val="24"/>
              </w:rPr>
              <w:fldChar w:fldCharType="end"/>
            </w:r>
            <w:r>
              <w:rPr>
                <w:color w:val="auto"/>
                <w:sz w:val="24"/>
              </w:rPr>
              <w:t>评价结论</w:t>
            </w:r>
          </w:p>
          <w:p>
            <w:pPr>
              <w:spacing w:line="360" w:lineRule="auto"/>
              <w:ind w:firstLine="480" w:firstLineChars="200"/>
              <w:rPr>
                <w:color w:val="auto"/>
                <w:sz w:val="24"/>
                <w:szCs w:val="22"/>
              </w:rPr>
            </w:pPr>
            <w:r>
              <w:rPr>
                <w:color w:val="auto"/>
                <w:sz w:val="24"/>
                <w:szCs w:val="22"/>
              </w:rPr>
              <w:t>根据《环境影响评价技术导则土壤环境（试行）》附录A，本项目行业类别水域“水利”中“其他”，项目类别为</w:t>
            </w:r>
            <w:r>
              <w:rPr>
                <w:color w:val="auto"/>
                <w:sz w:val="24"/>
                <w:szCs w:val="22"/>
              </w:rPr>
              <w:fldChar w:fldCharType="begin"/>
            </w:r>
            <w:r>
              <w:rPr>
                <w:color w:val="auto"/>
                <w:sz w:val="24"/>
                <w:szCs w:val="22"/>
              </w:rPr>
              <w:instrText xml:space="preserve"> = 3 \* ROMAN </w:instrText>
            </w:r>
            <w:r>
              <w:rPr>
                <w:color w:val="auto"/>
                <w:sz w:val="24"/>
                <w:szCs w:val="22"/>
              </w:rPr>
              <w:fldChar w:fldCharType="separate"/>
            </w:r>
            <w:r>
              <w:rPr>
                <w:color w:val="auto"/>
                <w:sz w:val="24"/>
                <w:szCs w:val="22"/>
              </w:rPr>
              <w:t>III</w:t>
            </w:r>
            <w:r>
              <w:rPr>
                <w:color w:val="auto"/>
                <w:sz w:val="24"/>
                <w:szCs w:val="22"/>
              </w:rPr>
              <w:fldChar w:fldCharType="end"/>
            </w:r>
            <w:r>
              <w:rPr>
                <w:color w:val="auto"/>
                <w:sz w:val="24"/>
                <w:szCs w:val="22"/>
              </w:rPr>
              <w:t>类，根据项目土壤检测报告</w:t>
            </w:r>
            <w:r>
              <w:rPr>
                <w:rFonts w:hint="eastAsia"/>
                <w:color w:val="auto"/>
                <w:sz w:val="24"/>
                <w:szCs w:val="22"/>
              </w:rPr>
              <w:t>（附件3）</w:t>
            </w:r>
            <w:r>
              <w:rPr>
                <w:color w:val="auto"/>
                <w:sz w:val="24"/>
                <w:szCs w:val="22"/>
              </w:rPr>
              <w:t>可知，项目区域土壤含盐量在1.0g/kg～1.8g/kg，pH在8.16～8.41</w:t>
            </w:r>
            <w:r>
              <w:rPr>
                <w:rFonts w:hint="eastAsia"/>
                <w:color w:val="auto"/>
                <w:sz w:val="24"/>
                <w:szCs w:val="22"/>
              </w:rPr>
              <w:t>（6.89~7.31）</w:t>
            </w:r>
            <w:r>
              <w:rPr>
                <w:color w:val="auto"/>
                <w:sz w:val="24"/>
                <w:szCs w:val="22"/>
              </w:rPr>
              <w:t>，根据“生态影响型敏感程度分级表”属于“4.5&lt;pH&lt;8.5”和“其他”为“不敏感”区域，因此，本项目可不开展土壤环境影响评价工作。</w:t>
            </w:r>
          </w:p>
          <w:p>
            <w:pPr>
              <w:spacing w:line="360" w:lineRule="auto"/>
              <w:ind w:firstLine="482" w:firstLineChars="200"/>
              <w:rPr>
                <w:b/>
                <w:bCs/>
                <w:color w:val="auto"/>
                <w:sz w:val="24"/>
                <w:szCs w:val="22"/>
              </w:rPr>
            </w:pPr>
            <w:r>
              <w:rPr>
                <w:b/>
                <w:bCs/>
                <w:color w:val="auto"/>
                <w:sz w:val="24"/>
                <w:szCs w:val="22"/>
              </w:rPr>
              <w:t>7、生态环境影响分析</w:t>
            </w:r>
          </w:p>
          <w:p>
            <w:pPr>
              <w:adjustRightInd w:val="0"/>
              <w:snapToGrid w:val="0"/>
              <w:spacing w:line="360" w:lineRule="auto"/>
              <w:ind w:firstLine="480" w:firstLineChars="200"/>
              <w:rPr>
                <w:color w:val="auto"/>
                <w:sz w:val="24"/>
                <w:szCs w:val="22"/>
              </w:rPr>
            </w:pPr>
            <w:r>
              <w:rPr>
                <w:color w:val="auto"/>
                <w:sz w:val="24"/>
                <w:szCs w:val="22"/>
              </w:rPr>
              <w:fldChar w:fldCharType="begin"/>
            </w:r>
            <w:r>
              <w:rPr>
                <w:color w:val="auto"/>
                <w:sz w:val="24"/>
                <w:szCs w:val="22"/>
              </w:rPr>
              <w:instrText xml:space="preserve"> = 1 \* GB2 \* MERGEFORMAT </w:instrText>
            </w:r>
            <w:r>
              <w:rPr>
                <w:color w:val="auto"/>
                <w:sz w:val="24"/>
                <w:szCs w:val="22"/>
              </w:rPr>
              <w:fldChar w:fldCharType="separate"/>
            </w:r>
            <w:r>
              <w:rPr>
                <w:rFonts w:ascii="宋体" w:hAnsi="宋体" w:cs="宋体"/>
                <w:color w:val="auto"/>
                <w:sz w:val="24"/>
                <w:szCs w:val="22"/>
              </w:rPr>
              <w:t>⑴</w:t>
            </w:r>
            <w:r>
              <w:rPr>
                <w:color w:val="auto"/>
                <w:sz w:val="24"/>
                <w:szCs w:val="22"/>
              </w:rPr>
              <w:fldChar w:fldCharType="end"/>
            </w:r>
            <w:r>
              <w:rPr>
                <w:rFonts w:hint="eastAsia"/>
                <w:color w:val="auto"/>
                <w:sz w:val="24"/>
                <w:szCs w:val="22"/>
              </w:rPr>
              <w:t>工程占地的影响</w:t>
            </w:r>
          </w:p>
          <w:p>
            <w:pPr>
              <w:adjustRightInd w:val="0"/>
              <w:snapToGrid w:val="0"/>
              <w:spacing w:line="360" w:lineRule="auto"/>
              <w:ind w:firstLine="480" w:firstLineChars="200"/>
              <w:rPr>
                <w:color w:val="auto"/>
                <w:sz w:val="24"/>
                <w:szCs w:val="22"/>
              </w:rPr>
            </w:pPr>
            <w:r>
              <w:rPr>
                <w:rFonts w:hint="eastAsia"/>
                <w:color w:val="auto"/>
                <w:sz w:val="24"/>
                <w:szCs w:val="22"/>
              </w:rPr>
              <w:t>①项目永久占地</w:t>
            </w:r>
          </w:p>
          <w:p>
            <w:pPr>
              <w:adjustRightInd w:val="0"/>
              <w:snapToGrid w:val="0"/>
              <w:spacing w:line="360" w:lineRule="auto"/>
              <w:ind w:firstLine="480" w:firstLineChars="200"/>
              <w:rPr>
                <w:color w:val="auto"/>
                <w:sz w:val="24"/>
                <w:szCs w:val="28"/>
              </w:rPr>
            </w:pPr>
            <w:r>
              <w:rPr>
                <w:rFonts w:hint="eastAsia"/>
                <w:color w:val="auto"/>
                <w:sz w:val="24"/>
                <w:szCs w:val="28"/>
              </w:rPr>
              <w:t>工程永久占地</w:t>
            </w:r>
            <w:r>
              <w:rPr>
                <w:color w:val="auto"/>
                <w:sz w:val="24"/>
                <w:szCs w:val="28"/>
              </w:rPr>
              <w:t>4.2</w:t>
            </w:r>
            <w:r>
              <w:rPr>
                <w:rFonts w:hint="eastAsia"/>
                <w:color w:val="auto"/>
                <w:sz w:val="24"/>
                <w:szCs w:val="28"/>
              </w:rPr>
              <w:t>亩（</w:t>
            </w:r>
            <w:r>
              <w:rPr>
                <w:color w:val="auto"/>
                <w:sz w:val="24"/>
                <w:szCs w:val="28"/>
              </w:rPr>
              <w:t>0.28hm</w:t>
            </w:r>
            <w:r>
              <w:rPr>
                <w:color w:val="auto"/>
                <w:sz w:val="24"/>
                <w:szCs w:val="28"/>
                <w:vertAlign w:val="superscript"/>
              </w:rPr>
              <w:t>2</w:t>
            </w:r>
            <w:r>
              <w:rPr>
                <w:rFonts w:hint="eastAsia"/>
                <w:color w:val="auto"/>
                <w:sz w:val="24"/>
                <w:szCs w:val="28"/>
              </w:rPr>
              <w:t>），主要为排洪渠陡坡段、消力池段及出口段占地，全部为河滩地。</w:t>
            </w:r>
          </w:p>
          <w:p>
            <w:pPr>
              <w:adjustRightInd w:val="0"/>
              <w:snapToGrid w:val="0"/>
              <w:spacing w:line="360" w:lineRule="auto"/>
              <w:ind w:firstLine="480" w:firstLineChars="200"/>
              <w:rPr>
                <w:color w:val="auto"/>
                <w:sz w:val="24"/>
                <w:szCs w:val="22"/>
              </w:rPr>
            </w:pPr>
            <w:r>
              <w:rPr>
                <w:rFonts w:hint="eastAsia"/>
                <w:color w:val="auto"/>
                <w:sz w:val="24"/>
                <w:szCs w:val="22"/>
              </w:rPr>
              <w:t>②临时占地</w:t>
            </w:r>
          </w:p>
          <w:p>
            <w:pPr>
              <w:adjustRightInd w:val="0"/>
              <w:snapToGrid w:val="0"/>
              <w:spacing w:line="360" w:lineRule="auto"/>
              <w:ind w:firstLine="480" w:firstLineChars="200"/>
              <w:rPr>
                <w:color w:val="auto"/>
                <w:sz w:val="24"/>
                <w:szCs w:val="22"/>
              </w:rPr>
            </w:pPr>
            <w:r>
              <w:rPr>
                <w:rFonts w:hint="eastAsia"/>
                <w:color w:val="auto"/>
                <w:sz w:val="24"/>
                <w:szCs w:val="22"/>
              </w:rPr>
              <w:t>临时工程用地主要包括：临时用房、机械停放场地、临时道路、临时堆土场地等。工程施工临时占地选在</w:t>
            </w:r>
            <w:r>
              <w:rPr>
                <w:rFonts w:hint="eastAsia"/>
                <w:color w:val="auto"/>
                <w:sz w:val="24"/>
                <w:szCs w:val="22"/>
                <w:lang w:eastAsia="zh-CN"/>
              </w:rPr>
              <w:t>王洼二矿</w:t>
            </w:r>
            <w:r>
              <w:rPr>
                <w:rFonts w:hint="eastAsia"/>
                <w:color w:val="auto"/>
                <w:sz w:val="24"/>
                <w:szCs w:val="22"/>
              </w:rPr>
              <w:t>煤矿矸石场处，不占用其他用地。</w:t>
            </w:r>
          </w:p>
          <w:p>
            <w:pPr>
              <w:adjustRightInd w:val="0"/>
              <w:snapToGrid w:val="0"/>
              <w:spacing w:line="360" w:lineRule="auto"/>
              <w:ind w:firstLine="480" w:firstLineChars="200"/>
              <w:rPr>
                <w:color w:val="auto"/>
                <w:sz w:val="24"/>
                <w:szCs w:val="22"/>
              </w:rPr>
            </w:pPr>
            <w:r>
              <w:rPr>
                <w:color w:val="auto"/>
                <w:sz w:val="24"/>
                <w:szCs w:val="22"/>
              </w:rPr>
              <w:fldChar w:fldCharType="begin"/>
            </w:r>
            <w:r>
              <w:rPr>
                <w:color w:val="auto"/>
                <w:sz w:val="24"/>
                <w:szCs w:val="22"/>
              </w:rPr>
              <w:instrText xml:space="preserve"> = 2 \* GB2 \* MERGEFORMAT </w:instrText>
            </w:r>
            <w:r>
              <w:rPr>
                <w:color w:val="auto"/>
                <w:sz w:val="24"/>
                <w:szCs w:val="22"/>
              </w:rPr>
              <w:fldChar w:fldCharType="separate"/>
            </w:r>
            <w:r>
              <w:rPr>
                <w:rFonts w:hint="eastAsia" w:ascii="宋体" w:hAnsi="宋体" w:cs="宋体"/>
                <w:color w:val="auto"/>
                <w:sz w:val="24"/>
                <w:szCs w:val="22"/>
              </w:rPr>
              <w:t>⑵</w:t>
            </w:r>
            <w:r>
              <w:rPr>
                <w:color w:val="auto"/>
                <w:sz w:val="24"/>
                <w:szCs w:val="22"/>
              </w:rPr>
              <w:fldChar w:fldCharType="end"/>
            </w:r>
            <w:r>
              <w:rPr>
                <w:rFonts w:hint="eastAsia"/>
                <w:color w:val="auto"/>
                <w:sz w:val="24"/>
                <w:szCs w:val="22"/>
              </w:rPr>
              <w:t>工程污染影响</w:t>
            </w:r>
          </w:p>
          <w:p>
            <w:pPr>
              <w:adjustRightInd w:val="0"/>
              <w:snapToGrid w:val="0"/>
              <w:spacing w:line="360" w:lineRule="auto"/>
              <w:ind w:firstLine="480" w:firstLineChars="200"/>
              <w:rPr>
                <w:color w:val="auto"/>
                <w:sz w:val="24"/>
                <w:szCs w:val="22"/>
              </w:rPr>
            </w:pPr>
            <w:r>
              <w:rPr>
                <w:rFonts w:hint="eastAsia"/>
                <w:color w:val="auto"/>
                <w:sz w:val="24"/>
                <w:szCs w:val="22"/>
              </w:rPr>
              <w:t>本工程施工期进行管沟开挖，管线填埋，对生态环境的负面影响主要表现在施工临时占地对地表植被的破坏和对土壤的扰动，以及由于施工过程造成的水土流失、景观影响等方面。项目施工期结束后，影响消失。</w:t>
            </w:r>
          </w:p>
          <w:p>
            <w:pPr>
              <w:adjustRightInd w:val="0"/>
              <w:snapToGrid w:val="0"/>
              <w:spacing w:line="360" w:lineRule="auto"/>
              <w:ind w:firstLine="480" w:firstLineChars="200"/>
              <w:rPr>
                <w:color w:val="auto"/>
                <w:sz w:val="24"/>
                <w:szCs w:val="22"/>
              </w:rPr>
            </w:pPr>
            <w:r>
              <w:rPr>
                <w:color w:val="auto"/>
                <w:sz w:val="24"/>
                <w:szCs w:val="22"/>
              </w:rPr>
              <w:fldChar w:fldCharType="begin"/>
            </w:r>
            <w:r>
              <w:rPr>
                <w:color w:val="auto"/>
                <w:sz w:val="24"/>
                <w:szCs w:val="22"/>
              </w:rPr>
              <w:instrText xml:space="preserve"> = 3 \* GB2 \* MERGEFORMAT </w:instrText>
            </w:r>
            <w:r>
              <w:rPr>
                <w:color w:val="auto"/>
                <w:sz w:val="24"/>
                <w:szCs w:val="22"/>
              </w:rPr>
              <w:fldChar w:fldCharType="separate"/>
            </w:r>
            <w:r>
              <w:rPr>
                <w:rFonts w:hint="eastAsia"/>
                <w:color w:val="auto"/>
                <w:sz w:val="24"/>
                <w:szCs w:val="22"/>
              </w:rPr>
              <w:t>⑶</w:t>
            </w:r>
            <w:r>
              <w:rPr>
                <w:color w:val="auto"/>
                <w:sz w:val="24"/>
                <w:szCs w:val="22"/>
              </w:rPr>
              <w:fldChar w:fldCharType="end"/>
            </w:r>
            <w:r>
              <w:rPr>
                <w:rFonts w:hint="eastAsia"/>
                <w:color w:val="auto"/>
                <w:sz w:val="24"/>
                <w:szCs w:val="22"/>
              </w:rPr>
              <w:t>对植被的影响分析</w:t>
            </w:r>
          </w:p>
          <w:p>
            <w:pPr>
              <w:spacing w:line="360" w:lineRule="auto"/>
              <w:ind w:firstLine="480" w:firstLineChars="200"/>
              <w:rPr>
                <w:color w:val="auto"/>
                <w:sz w:val="24"/>
                <w:szCs w:val="22"/>
              </w:rPr>
            </w:pPr>
            <w:r>
              <w:rPr>
                <w:rFonts w:hint="eastAsia"/>
                <w:color w:val="auto"/>
                <w:sz w:val="24"/>
                <w:szCs w:val="22"/>
              </w:rPr>
              <w:t>本工程施工过程中，运输车辆的碾压及施工人员的施工活动将会使部分地表植被遭到破坏，短期内将会使该部分地表裸露，随着施工期的结束及地表植被的恢复，该不利影响将会随之消失；同时加强施工管理，各类施工活动要严格限定在用地范围内，严禁随意碾压、扰动和破坏地表植被，杜绝破坏项目区以外的植被。制定严格的施工管理制度，应加强对施工人员的管理，严禁施工人员对项目区域的植被滥砍滥伐，车辆运输等必须在规定的道路上行驶，不得随意碾压项目用地范围外的植被。因此，本工程的建设只在短期内对区域植被产生影响，随着施工期结束后进行植被恢复，能够将对植被破坏的影响降到最低限度。</w:t>
            </w:r>
          </w:p>
          <w:p>
            <w:pPr>
              <w:spacing w:line="360" w:lineRule="auto"/>
              <w:ind w:firstLine="480" w:firstLineChars="200"/>
              <w:rPr>
                <w:color w:val="auto"/>
                <w:sz w:val="24"/>
                <w:szCs w:val="20"/>
              </w:rPr>
            </w:pPr>
            <w:r>
              <w:rPr>
                <w:rFonts w:hint="eastAsia"/>
                <w:color w:val="auto"/>
                <w:sz w:val="24"/>
                <w:szCs w:val="22"/>
              </w:rPr>
              <w:t>此外，施工作业结束后，</w:t>
            </w:r>
            <w:r>
              <w:rPr>
                <w:rFonts w:hint="eastAsia"/>
                <w:color w:val="auto"/>
                <w:sz w:val="24"/>
                <w:szCs w:val="20"/>
              </w:rPr>
              <w:t>矸石场整改区范围内顶部覆土厚度为</w:t>
            </w:r>
            <w:r>
              <w:rPr>
                <w:color w:val="auto"/>
                <w:sz w:val="24"/>
                <w:szCs w:val="20"/>
              </w:rPr>
              <w:t>1.0m</w:t>
            </w:r>
            <w:r>
              <w:rPr>
                <w:rFonts w:hint="eastAsia"/>
                <w:color w:val="auto"/>
                <w:sz w:val="24"/>
                <w:szCs w:val="20"/>
              </w:rPr>
              <w:t>，对矸石场表层沿排洪渠方向进行带坡平整，后复垦种植苜蓿，播种面积</w:t>
            </w:r>
            <w:r>
              <w:rPr>
                <w:bCs/>
                <w:color w:val="auto"/>
                <w:sz w:val="24"/>
                <w:szCs w:val="32"/>
              </w:rPr>
              <w:t>2.5hm</w:t>
            </w:r>
            <w:r>
              <w:rPr>
                <w:bCs/>
                <w:color w:val="auto"/>
                <w:sz w:val="24"/>
                <w:szCs w:val="32"/>
                <w:vertAlign w:val="superscript"/>
              </w:rPr>
              <w:t>2</w:t>
            </w:r>
            <w:r>
              <w:rPr>
                <w:rFonts w:hint="eastAsia"/>
                <w:color w:val="auto"/>
                <w:sz w:val="24"/>
                <w:szCs w:val="20"/>
              </w:rPr>
              <w:t>，矸石场的植被恢复将会得到很大改善。</w:t>
            </w:r>
          </w:p>
          <w:p>
            <w:pPr>
              <w:adjustRightInd w:val="0"/>
              <w:snapToGrid w:val="0"/>
              <w:spacing w:line="360" w:lineRule="auto"/>
              <w:ind w:firstLine="480" w:firstLineChars="200"/>
              <w:rPr>
                <w:color w:val="auto"/>
                <w:sz w:val="24"/>
                <w:szCs w:val="22"/>
              </w:rPr>
            </w:pPr>
            <w:r>
              <w:rPr>
                <w:color w:val="auto"/>
                <w:sz w:val="24"/>
                <w:szCs w:val="22"/>
              </w:rPr>
              <w:fldChar w:fldCharType="begin"/>
            </w:r>
            <w:r>
              <w:rPr>
                <w:color w:val="auto"/>
                <w:sz w:val="24"/>
                <w:szCs w:val="22"/>
              </w:rPr>
              <w:instrText xml:space="preserve"> = 4 \* GB2 \* MERGEFORMAT </w:instrText>
            </w:r>
            <w:r>
              <w:rPr>
                <w:color w:val="auto"/>
                <w:sz w:val="24"/>
                <w:szCs w:val="22"/>
              </w:rPr>
              <w:fldChar w:fldCharType="separate"/>
            </w:r>
            <w:r>
              <w:rPr>
                <w:rFonts w:hint="eastAsia" w:ascii="宋体" w:hAnsi="宋体" w:cs="宋体"/>
                <w:color w:val="auto"/>
                <w:sz w:val="24"/>
                <w:szCs w:val="22"/>
              </w:rPr>
              <w:t>⑷</w:t>
            </w:r>
            <w:r>
              <w:rPr>
                <w:color w:val="auto"/>
                <w:sz w:val="24"/>
                <w:szCs w:val="22"/>
              </w:rPr>
              <w:fldChar w:fldCharType="end"/>
            </w:r>
            <w:r>
              <w:rPr>
                <w:rFonts w:hint="eastAsia"/>
                <w:color w:val="auto"/>
                <w:sz w:val="24"/>
                <w:szCs w:val="22"/>
              </w:rPr>
              <w:t>对土壤的环境影响分析</w:t>
            </w:r>
          </w:p>
          <w:p>
            <w:pPr>
              <w:adjustRightInd w:val="0"/>
              <w:snapToGrid w:val="0"/>
              <w:spacing w:line="360" w:lineRule="auto"/>
              <w:ind w:firstLine="480" w:firstLineChars="200"/>
              <w:rPr>
                <w:color w:val="auto"/>
                <w:sz w:val="24"/>
                <w:szCs w:val="22"/>
              </w:rPr>
            </w:pPr>
            <w:r>
              <w:rPr>
                <w:rFonts w:hint="eastAsia"/>
                <w:color w:val="auto"/>
                <w:sz w:val="24"/>
                <w:szCs w:val="22"/>
              </w:rPr>
              <w:t>①破坏土壤结构</w:t>
            </w:r>
          </w:p>
          <w:p>
            <w:pPr>
              <w:adjustRightInd w:val="0"/>
              <w:snapToGrid w:val="0"/>
              <w:spacing w:line="360" w:lineRule="auto"/>
              <w:ind w:firstLine="480" w:firstLineChars="200"/>
              <w:rPr>
                <w:color w:val="auto"/>
                <w:sz w:val="24"/>
                <w:szCs w:val="22"/>
              </w:rPr>
            </w:pPr>
            <w:r>
              <w:rPr>
                <w:rFonts w:hint="eastAsia"/>
                <w:color w:val="auto"/>
                <w:sz w:val="24"/>
                <w:szCs w:val="22"/>
              </w:rPr>
              <w:t>土壤中的分层特征和团粒结构是在当地自然条件下经过较长期的发育过程形成的，土壤结构是土壤质量好坏的重要指标，特别是土壤团粒结构，土壤团粒结构多占比例越大，表明土壤质量越好。施工过程中开挖开挖和填埋会破坏原有土壤结构，同时施工机械、车辆的碾压、人员践踏等活动均会对土壤结构产生不良影响。</w:t>
            </w:r>
          </w:p>
          <w:p>
            <w:pPr>
              <w:adjustRightInd w:val="0"/>
              <w:snapToGrid w:val="0"/>
              <w:spacing w:line="360" w:lineRule="auto"/>
              <w:ind w:firstLine="480" w:firstLineChars="200"/>
              <w:rPr>
                <w:color w:val="auto"/>
                <w:sz w:val="24"/>
                <w:szCs w:val="22"/>
              </w:rPr>
            </w:pPr>
            <w:r>
              <w:rPr>
                <w:rFonts w:hint="eastAsia"/>
                <w:color w:val="auto"/>
                <w:sz w:val="24"/>
                <w:szCs w:val="22"/>
              </w:rPr>
              <w:t>②改变土壤质地</w:t>
            </w:r>
          </w:p>
          <w:p>
            <w:pPr>
              <w:adjustRightInd w:val="0"/>
              <w:snapToGrid w:val="0"/>
              <w:spacing w:line="360" w:lineRule="auto"/>
              <w:ind w:firstLine="480" w:firstLineChars="200"/>
              <w:rPr>
                <w:color w:val="auto"/>
                <w:sz w:val="24"/>
                <w:szCs w:val="22"/>
              </w:rPr>
            </w:pPr>
            <w:r>
              <w:rPr>
                <w:rFonts w:hint="eastAsia"/>
                <w:color w:val="auto"/>
                <w:sz w:val="24"/>
                <w:szCs w:val="22"/>
              </w:rPr>
              <w:t>土壤具有明显的分层性，不同土层的土壤具有不同的类型、结构、质地和肥力水平，如表土层和心土层就有非常明显的差异。管沟在开挖、回填等施工过程中，会造成土层间的混合，从而导致原土壤结构和性质等发生变化，土壤肥力水平和土壤质地也会发生相应的变化。土壤层次混合导致的土壤结构的破坏、土壤肥力的下降和土地生产能力的下降，影响植被生长，影响植被覆盖度，因此要求在施工中注意尽量维持土壤现状。</w:t>
            </w:r>
          </w:p>
          <w:p>
            <w:pPr>
              <w:adjustRightInd w:val="0"/>
              <w:snapToGrid w:val="0"/>
              <w:spacing w:line="360" w:lineRule="auto"/>
              <w:ind w:firstLine="480" w:firstLineChars="200"/>
              <w:rPr>
                <w:color w:val="auto"/>
                <w:sz w:val="24"/>
                <w:szCs w:val="22"/>
              </w:rPr>
            </w:pPr>
            <w:r>
              <w:rPr>
                <w:rFonts w:hint="eastAsia"/>
                <w:color w:val="auto"/>
                <w:sz w:val="24"/>
                <w:szCs w:val="22"/>
              </w:rPr>
              <w:t>③土壤紧实度的变化</w:t>
            </w:r>
          </w:p>
          <w:p>
            <w:pPr>
              <w:adjustRightInd w:val="0"/>
              <w:snapToGrid w:val="0"/>
              <w:spacing w:line="360" w:lineRule="auto"/>
              <w:ind w:firstLine="480" w:firstLineChars="200"/>
              <w:rPr>
                <w:color w:val="auto"/>
                <w:sz w:val="24"/>
                <w:szCs w:val="22"/>
              </w:rPr>
            </w:pPr>
            <w:r>
              <w:rPr>
                <w:rFonts w:hint="eastAsia"/>
                <w:color w:val="auto"/>
                <w:sz w:val="24"/>
                <w:szCs w:val="22"/>
              </w:rPr>
              <w:t>在施工过程中，由于施工机械、车辆碾压和人员践踏等，会造成土壤紧实和土壤板结；而管道敷设后覆土的土壤紧实度通常在短期内难以恢复到原来的水平。土层过松，容易引起或加剧水土流失；土层过紧，会影响土壤的通透性和破坏土壤结构，造成覆土上植被生长不良。因此，在施工作业带内必须严格实行表土与底土分开堆放，土方回填过程中表土最后回填，尽量恢复原有形态。</w:t>
            </w:r>
          </w:p>
          <w:p>
            <w:pPr>
              <w:adjustRightInd w:val="0"/>
              <w:snapToGrid w:val="0"/>
              <w:spacing w:line="360" w:lineRule="auto"/>
              <w:ind w:firstLine="480" w:firstLineChars="200"/>
              <w:rPr>
                <w:color w:val="auto"/>
                <w:sz w:val="24"/>
                <w:szCs w:val="22"/>
              </w:rPr>
            </w:pPr>
            <w:r>
              <w:rPr>
                <w:rFonts w:hint="eastAsia"/>
                <w:color w:val="auto"/>
                <w:sz w:val="24"/>
                <w:szCs w:val="22"/>
              </w:rPr>
              <w:t>④对水土流失的影响分析</w:t>
            </w:r>
          </w:p>
          <w:p>
            <w:pPr>
              <w:adjustRightInd w:val="0"/>
              <w:snapToGrid w:val="0"/>
              <w:spacing w:line="360" w:lineRule="auto"/>
              <w:ind w:firstLine="480" w:firstLineChars="200"/>
              <w:rPr>
                <w:color w:val="auto"/>
                <w:sz w:val="24"/>
                <w:szCs w:val="22"/>
                <w:lang w:val="en-GB"/>
              </w:rPr>
            </w:pPr>
            <w:r>
              <w:rPr>
                <w:rFonts w:hint="eastAsia"/>
                <w:color w:val="auto"/>
                <w:sz w:val="24"/>
                <w:szCs w:val="22"/>
                <w:lang w:val="en-GB"/>
              </w:rPr>
              <w:t>由于施工破坏了局部区域表土层，遇大风天气或多雨季节易产生风蚀或水蚀现象；土方的短期堆放也会引发水土流失现象的发生。本工程在施工时，土方应远离河道堆放，而且待施工结束后及时恢复土地的原有功能，最大限度降低水土流失影响。</w:t>
            </w:r>
          </w:p>
          <w:p>
            <w:pPr>
              <w:adjustRightInd w:val="0"/>
              <w:snapToGrid w:val="0"/>
              <w:spacing w:line="360" w:lineRule="auto"/>
              <w:ind w:firstLine="480" w:firstLineChars="200"/>
              <w:rPr>
                <w:color w:val="auto"/>
                <w:sz w:val="24"/>
                <w:szCs w:val="22"/>
              </w:rPr>
            </w:pPr>
            <w:r>
              <w:rPr>
                <w:rFonts w:hint="eastAsia"/>
                <w:color w:val="auto"/>
                <w:sz w:val="24"/>
                <w:szCs w:val="22"/>
              </w:rPr>
              <w:t>⑤对自然景观的影响分析</w:t>
            </w:r>
          </w:p>
          <w:p>
            <w:pPr>
              <w:adjustRightInd w:val="0"/>
              <w:snapToGrid w:val="0"/>
              <w:spacing w:line="360" w:lineRule="auto"/>
              <w:ind w:firstLine="480" w:firstLineChars="200"/>
              <w:rPr>
                <w:color w:val="auto"/>
                <w:sz w:val="24"/>
                <w:szCs w:val="22"/>
              </w:rPr>
            </w:pPr>
            <w:r>
              <w:rPr>
                <w:rFonts w:hint="eastAsia"/>
                <w:color w:val="auto"/>
                <w:sz w:val="24"/>
                <w:szCs w:val="22"/>
              </w:rPr>
              <w:t>本工程的建设必然对原有地表形态、植被等产生破坏，若开挖土方堆放地点选择不合适或施工人员乱扔垃圾均会影响到该区域的自然景观。但随着施工期的结束，对场地进行植被恢复、水土流失防治等，这些影响因素都可以逐步消除，逐步恢复到项目区原有自然景观。</w:t>
            </w:r>
          </w:p>
          <w:p>
            <w:pPr>
              <w:adjustRightInd w:val="0"/>
              <w:snapToGrid w:val="0"/>
              <w:spacing w:line="360" w:lineRule="auto"/>
              <w:ind w:firstLine="480" w:firstLineChars="200"/>
              <w:rPr>
                <w:color w:val="auto"/>
                <w:sz w:val="24"/>
                <w:szCs w:val="22"/>
              </w:rPr>
            </w:pPr>
          </w:p>
          <w:p>
            <w:pPr>
              <w:pStyle w:val="2"/>
              <w:ind w:firstLine="210"/>
              <w:rPr>
                <w:color w:val="auto"/>
              </w:rPr>
            </w:pPr>
          </w:p>
          <w:p>
            <w:pPr>
              <w:rPr>
                <w:color w:val="auto"/>
              </w:rPr>
            </w:pPr>
          </w:p>
          <w:p>
            <w:pPr>
              <w:pStyle w:val="2"/>
              <w:ind w:firstLine="0" w:firstLineChars="0"/>
              <w:rPr>
                <w:rFonts w:hint="eastAsia"/>
                <w:b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7" w:hRule="atLeast"/>
          <w:jc w:val="center"/>
        </w:trPr>
        <w:tc>
          <w:tcPr>
            <w:tcW w:w="753" w:type="dxa"/>
            <w:tcMar>
              <w:left w:w="28" w:type="dxa"/>
              <w:right w:w="28" w:type="dxa"/>
            </w:tcMar>
            <w:vAlign w:val="center"/>
          </w:tcPr>
          <w:p>
            <w:pPr>
              <w:pStyle w:val="17"/>
              <w:adjustRightInd w:val="0"/>
              <w:snapToGrid w:val="0"/>
              <w:spacing w:before="0" w:beforeAutospacing="0" w:after="0" w:afterAutospacing="0"/>
              <w:jc w:val="both"/>
              <w:rPr>
                <w:rFonts w:ascii="Times New Roman" w:hAnsi="Times New Roman"/>
                <w:bCs/>
                <w:color w:val="auto"/>
                <w:spacing w:val="10"/>
                <w:kern w:val="2"/>
                <w:szCs w:val="24"/>
              </w:rPr>
            </w:pPr>
          </w:p>
          <w:p>
            <w:pPr>
              <w:pStyle w:val="17"/>
              <w:adjustRightInd w:val="0"/>
              <w:snapToGrid w:val="0"/>
              <w:spacing w:before="0" w:beforeAutospacing="0" w:after="0" w:afterAutospacing="0"/>
              <w:jc w:val="center"/>
              <w:rPr>
                <w:rFonts w:ascii="Times New Roman" w:hAnsi="Times New Roman"/>
                <w:bCs/>
                <w:color w:val="auto"/>
                <w:spacing w:val="10"/>
                <w:kern w:val="2"/>
                <w:szCs w:val="24"/>
              </w:rPr>
            </w:pPr>
          </w:p>
          <w:p>
            <w:pPr>
              <w:pStyle w:val="17"/>
              <w:adjustRightInd w:val="0"/>
              <w:snapToGrid w:val="0"/>
              <w:spacing w:before="0" w:beforeAutospacing="0" w:after="0" w:afterAutospacing="0"/>
              <w:jc w:val="center"/>
              <w:rPr>
                <w:rFonts w:ascii="Times New Roman" w:hAnsi="Times New Roman"/>
                <w:bCs/>
                <w:color w:val="auto"/>
                <w:spacing w:val="10"/>
                <w:kern w:val="2"/>
                <w:szCs w:val="24"/>
              </w:rPr>
            </w:pPr>
            <w:r>
              <w:rPr>
                <w:rFonts w:ascii="Times New Roman" w:hAnsi="Times New Roman"/>
                <w:bCs/>
                <w:color w:val="auto"/>
                <w:spacing w:val="10"/>
                <w:kern w:val="2"/>
                <w:szCs w:val="24"/>
              </w:rPr>
              <w:t>运营期生态环境影响分析</w:t>
            </w:r>
          </w:p>
          <w:p>
            <w:pPr>
              <w:pStyle w:val="17"/>
              <w:adjustRightInd w:val="0"/>
              <w:snapToGrid w:val="0"/>
              <w:spacing w:before="0" w:beforeAutospacing="0" w:after="0" w:afterAutospacing="0"/>
              <w:jc w:val="both"/>
              <w:rPr>
                <w:rFonts w:ascii="Times New Roman" w:hAnsi="Times New Roman"/>
                <w:bCs/>
                <w:color w:val="auto"/>
                <w:kern w:val="2"/>
                <w:szCs w:val="24"/>
              </w:rPr>
            </w:pPr>
          </w:p>
        </w:tc>
        <w:tc>
          <w:tcPr>
            <w:tcW w:w="8168" w:type="dxa"/>
            <w:vAlign w:val="center"/>
          </w:tcPr>
          <w:p>
            <w:pPr>
              <w:spacing w:line="360" w:lineRule="auto"/>
              <w:ind w:firstLine="480" w:firstLineChars="200"/>
              <w:rPr>
                <w:bCs/>
                <w:color w:val="auto"/>
                <w:sz w:val="24"/>
              </w:rPr>
            </w:pPr>
            <w:r>
              <w:rPr>
                <w:rFonts w:hint="eastAsia" w:cs="Times New Roman"/>
                <w:color w:val="auto"/>
                <w:sz w:val="24"/>
                <w:szCs w:val="22"/>
                <w:highlight w:val="none"/>
                <w:lang w:eastAsia="zh-CN"/>
              </w:rPr>
              <w:t>本工程</w:t>
            </w:r>
            <w:r>
              <w:rPr>
                <w:rFonts w:hint="default" w:ascii="Times New Roman" w:hAnsi="Times New Roman" w:cs="Times New Roman"/>
                <w:color w:val="auto"/>
                <w:sz w:val="24"/>
                <w:szCs w:val="22"/>
                <w:highlight w:val="none"/>
              </w:rPr>
              <w:t>环境影响主要在施工期，在运行期不产生废气、废水和固体废物等污染物，工程结束后，将提高</w:t>
            </w:r>
            <w:r>
              <w:rPr>
                <w:rFonts w:hint="eastAsia"/>
                <w:color w:val="auto"/>
                <w:sz w:val="24"/>
                <w:szCs w:val="22"/>
              </w:rPr>
              <w:t>王洼沟及矸石场</w:t>
            </w:r>
            <w:r>
              <w:rPr>
                <w:rFonts w:hint="default" w:ascii="Times New Roman" w:hAnsi="Times New Roman" w:cs="Times New Roman"/>
                <w:color w:val="auto"/>
                <w:sz w:val="24"/>
                <w:szCs w:val="22"/>
                <w:highlight w:val="none"/>
              </w:rPr>
              <w:t>的防洪标准及防洪避险能力，使其能够抵御100年一遇洪水的</w:t>
            </w:r>
            <w:r>
              <w:rPr>
                <w:rFonts w:hint="eastAsia" w:cs="Times New Roman"/>
                <w:color w:val="auto"/>
                <w:sz w:val="24"/>
                <w:szCs w:val="22"/>
                <w:highlight w:val="none"/>
                <w:lang w:eastAsia="zh-CN"/>
              </w:rPr>
              <w:t>险</w:t>
            </w:r>
            <w:r>
              <w:rPr>
                <w:rFonts w:hint="default" w:ascii="Times New Roman" w:hAnsi="Times New Roman" w:cs="Times New Roman"/>
                <w:color w:val="auto"/>
                <w:sz w:val="24"/>
                <w:szCs w:val="22"/>
                <w:highlight w:val="none"/>
              </w:rPr>
              <w:t>胁，</w:t>
            </w:r>
            <w:r>
              <w:rPr>
                <w:rFonts w:hint="eastAsia" w:cs="Times New Roman"/>
                <w:color w:val="auto"/>
                <w:sz w:val="24"/>
                <w:szCs w:val="22"/>
                <w:highlight w:val="none"/>
                <w:lang w:eastAsia="zh-CN"/>
              </w:rPr>
              <w:t>能够有效降低王洼二矿</w:t>
            </w:r>
            <w:r>
              <w:rPr>
                <w:rFonts w:hint="eastAsia"/>
                <w:bCs/>
                <w:color w:val="auto"/>
                <w:sz w:val="24"/>
                <w:szCs w:val="22"/>
              </w:rPr>
              <w:t>矸石场、岸坡治理工程、</w:t>
            </w:r>
            <w:r>
              <w:rPr>
                <w:bCs/>
                <w:color w:val="auto"/>
                <w:sz w:val="24"/>
                <w:szCs w:val="22"/>
              </w:rPr>
              <w:t>II类一般工业固体废物处置</w:t>
            </w:r>
            <w:r>
              <w:rPr>
                <w:rFonts w:hint="eastAsia"/>
                <w:bCs/>
                <w:color w:val="auto"/>
                <w:sz w:val="24"/>
                <w:szCs w:val="22"/>
              </w:rPr>
              <w:t>场</w:t>
            </w:r>
            <w:r>
              <w:rPr>
                <w:rFonts w:hint="eastAsia" w:cs="Times New Roman"/>
                <w:color w:val="auto"/>
                <w:sz w:val="24"/>
                <w:szCs w:val="22"/>
                <w:highlight w:val="none"/>
                <w:lang w:eastAsia="zh-CN"/>
              </w:rPr>
              <w:t>因</w:t>
            </w:r>
            <w:r>
              <w:rPr>
                <w:rFonts w:hint="default" w:ascii="Times New Roman" w:hAnsi="Times New Roman" w:eastAsia="宋体" w:cs="Times New Roman"/>
                <w:color w:val="auto"/>
                <w:sz w:val="24"/>
                <w:szCs w:val="22"/>
                <w:highlight w:val="none"/>
                <w:lang w:val="en-GB"/>
              </w:rPr>
              <w:t>排洪设施排洪能力有限</w:t>
            </w:r>
            <w:r>
              <w:rPr>
                <w:rFonts w:hint="eastAsia" w:cs="Times New Roman"/>
                <w:color w:val="auto"/>
                <w:sz w:val="24"/>
                <w:szCs w:val="22"/>
                <w:highlight w:val="none"/>
                <w:lang w:val="en-GB" w:eastAsia="zh-CN"/>
              </w:rPr>
              <w:t>而不能排出洪水的环境风险。项目的建设</w:t>
            </w:r>
            <w:r>
              <w:rPr>
                <w:rFonts w:hint="eastAsia" w:ascii="Times New Roman" w:hAnsi="Times New Roman" w:cs="Times New Roman"/>
                <w:color w:val="auto"/>
                <w:sz w:val="24"/>
                <w:szCs w:val="22"/>
                <w:highlight w:val="none"/>
              </w:rPr>
              <w:t>能够保证</w:t>
            </w:r>
            <w:r>
              <w:rPr>
                <w:rFonts w:hint="eastAsia"/>
                <w:color w:val="auto"/>
                <w:sz w:val="24"/>
                <w:szCs w:val="22"/>
              </w:rPr>
              <w:t>王洼沟王洼二矿排矸场段</w:t>
            </w:r>
            <w:r>
              <w:rPr>
                <w:rFonts w:hint="eastAsia" w:ascii="Times New Roman" w:hAnsi="Times New Roman" w:cs="Times New Roman"/>
                <w:color w:val="auto"/>
                <w:sz w:val="24"/>
                <w:szCs w:val="22"/>
                <w:highlight w:val="none"/>
              </w:rPr>
              <w:t>及矸石场标准内洪水行洪畅通</w:t>
            </w:r>
            <w:r>
              <w:rPr>
                <w:rFonts w:hint="eastAsia" w:cs="Times New Roman"/>
                <w:color w:val="auto"/>
                <w:sz w:val="24"/>
                <w:szCs w:val="22"/>
                <w:highlight w:val="none"/>
                <w:lang w:eastAsia="zh-CN"/>
              </w:rPr>
              <w:t>、提高王洼二矿</w:t>
            </w:r>
            <w:r>
              <w:rPr>
                <w:rFonts w:hint="eastAsia"/>
                <w:bCs/>
                <w:color w:val="auto"/>
                <w:sz w:val="24"/>
                <w:szCs w:val="22"/>
              </w:rPr>
              <w:t>矸石场、岸坡治理工程、</w:t>
            </w:r>
            <w:r>
              <w:rPr>
                <w:bCs/>
                <w:color w:val="auto"/>
                <w:sz w:val="24"/>
                <w:szCs w:val="22"/>
              </w:rPr>
              <w:t>II类一般工业固体废物处置</w:t>
            </w:r>
            <w:r>
              <w:rPr>
                <w:rFonts w:hint="eastAsia"/>
                <w:bCs/>
                <w:color w:val="auto"/>
                <w:sz w:val="24"/>
                <w:szCs w:val="22"/>
              </w:rPr>
              <w:t>场</w:t>
            </w:r>
            <w:r>
              <w:rPr>
                <w:rFonts w:hint="default" w:ascii="Times New Roman" w:hAnsi="Times New Roman" w:eastAsia="宋体" w:cs="Times New Roman"/>
                <w:color w:val="auto"/>
                <w:sz w:val="24"/>
                <w:szCs w:val="22"/>
                <w:highlight w:val="none"/>
                <w:lang w:val="en-GB"/>
              </w:rPr>
              <w:t>防洪安全</w:t>
            </w:r>
            <w:r>
              <w:rPr>
                <w:rFonts w:hint="eastAsia" w:cs="Times New Roman"/>
                <w:color w:val="auto"/>
                <w:sz w:val="24"/>
                <w:szCs w:val="22"/>
                <w:highlight w:val="none"/>
                <w:lang w:val="en-GB" w:eastAsia="zh-CN"/>
              </w:rPr>
              <w:t>；</w:t>
            </w:r>
            <w:r>
              <w:rPr>
                <w:rFonts w:hint="eastAsia" w:ascii="Times New Roman" w:hAnsi="Times New Roman" w:cs="Times New Roman"/>
                <w:color w:val="auto"/>
                <w:sz w:val="24"/>
                <w:szCs w:val="22"/>
                <w:highlight w:val="none"/>
              </w:rPr>
              <w:t>同时将进一步改善矿区生态环境</w:t>
            </w:r>
            <w:r>
              <w:rPr>
                <w:rFonts w:hint="eastAsia" w:ascii="Times New Roman" w:hAnsi="Times New Roman" w:cs="Times New Roman"/>
                <w:color w:val="auto"/>
                <w:sz w:val="24"/>
                <w:szCs w:val="22"/>
                <w:highlight w:val="none"/>
                <w:lang w:eastAsia="zh-CN"/>
              </w:rPr>
              <w:t>，此外，也可以进一步</w:t>
            </w:r>
            <w:r>
              <w:rPr>
                <w:rFonts w:hint="default" w:ascii="Times New Roman" w:hAnsi="Times New Roman" w:cs="Times New Roman"/>
                <w:color w:val="auto"/>
                <w:sz w:val="24"/>
                <w:szCs w:val="22"/>
                <w:highlight w:val="none"/>
              </w:rPr>
              <w:t>明确管理范围；保证矿区人民群众生命及财产安全；保障项目区社会经济持续稳定、又好又快发展；进一步改善矿区生态环境。因此</w:t>
            </w:r>
            <w:r>
              <w:rPr>
                <w:rFonts w:hint="eastAsia" w:cs="Times New Roman"/>
                <w:color w:val="auto"/>
                <w:sz w:val="24"/>
                <w:szCs w:val="22"/>
                <w:highlight w:val="none"/>
                <w:lang w:eastAsia="zh-CN"/>
              </w:rPr>
              <w:t>本工程</w:t>
            </w:r>
            <w:r>
              <w:rPr>
                <w:rFonts w:hint="default" w:ascii="Times New Roman" w:hAnsi="Times New Roman" w:cs="Times New Roman"/>
                <w:color w:val="auto"/>
                <w:sz w:val="24"/>
                <w:szCs w:val="22"/>
                <w:highlight w:val="none"/>
              </w:rPr>
              <w:t>的实施将产生良好的社会、经济和环境效益</w:t>
            </w:r>
            <w:r>
              <w:rPr>
                <w:rFonts w:hint="eastAsia" w:cs="Times New Roman"/>
                <w:color w:val="auto"/>
                <w:sz w:val="24"/>
                <w:szCs w:val="22"/>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53" w:type="dxa"/>
            <w:vAlign w:val="center"/>
          </w:tcPr>
          <w:p>
            <w:pPr>
              <w:pStyle w:val="17"/>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bCs/>
                <w:color w:val="auto"/>
                <w:kern w:val="2"/>
                <w:szCs w:val="24"/>
              </w:rPr>
              <w:t>选址选线环境合理性分析</w:t>
            </w:r>
          </w:p>
        </w:tc>
        <w:tc>
          <w:tcPr>
            <w:tcW w:w="8168" w:type="dxa"/>
            <w:vAlign w:val="center"/>
          </w:tcPr>
          <w:p>
            <w:pPr>
              <w:autoSpaceDE w:val="0"/>
              <w:autoSpaceDN w:val="0"/>
              <w:adjustRightInd w:val="0"/>
              <w:spacing w:line="336" w:lineRule="auto"/>
              <w:ind w:firstLine="480" w:firstLineChars="200"/>
              <w:jc w:val="both"/>
              <w:rPr>
                <w:color w:val="auto"/>
                <w:sz w:val="24"/>
                <w:szCs w:val="22"/>
              </w:rPr>
            </w:pPr>
          </w:p>
          <w:p>
            <w:pPr>
              <w:autoSpaceDE w:val="0"/>
              <w:autoSpaceDN w:val="0"/>
              <w:adjustRightInd w:val="0"/>
              <w:spacing w:line="336" w:lineRule="auto"/>
              <w:ind w:firstLine="480" w:firstLineChars="200"/>
              <w:jc w:val="both"/>
              <w:rPr>
                <w:color w:val="auto"/>
                <w:sz w:val="24"/>
                <w:szCs w:val="22"/>
              </w:rPr>
            </w:pPr>
          </w:p>
          <w:p>
            <w:pPr>
              <w:autoSpaceDE w:val="0"/>
              <w:autoSpaceDN w:val="0"/>
              <w:adjustRightInd w:val="0"/>
              <w:spacing w:line="336" w:lineRule="auto"/>
              <w:ind w:firstLine="480" w:firstLineChars="200"/>
              <w:jc w:val="both"/>
              <w:rPr>
                <w:color w:val="auto"/>
                <w:sz w:val="24"/>
                <w:szCs w:val="22"/>
              </w:rPr>
            </w:pPr>
          </w:p>
          <w:p>
            <w:pPr>
              <w:autoSpaceDE w:val="0"/>
              <w:autoSpaceDN w:val="0"/>
              <w:adjustRightInd w:val="0"/>
              <w:spacing w:line="336" w:lineRule="auto"/>
              <w:ind w:firstLine="480" w:firstLineChars="200"/>
              <w:jc w:val="both"/>
              <w:rPr>
                <w:color w:val="auto"/>
                <w:sz w:val="24"/>
                <w:szCs w:val="22"/>
              </w:rPr>
            </w:pPr>
          </w:p>
          <w:p>
            <w:pPr>
              <w:autoSpaceDE w:val="0"/>
              <w:autoSpaceDN w:val="0"/>
              <w:adjustRightInd w:val="0"/>
              <w:spacing w:line="336" w:lineRule="auto"/>
              <w:ind w:firstLine="480" w:firstLineChars="200"/>
              <w:jc w:val="both"/>
              <w:rPr>
                <w:color w:val="auto"/>
                <w:sz w:val="24"/>
                <w:szCs w:val="22"/>
              </w:rPr>
            </w:pPr>
          </w:p>
          <w:p>
            <w:pPr>
              <w:autoSpaceDE w:val="0"/>
              <w:autoSpaceDN w:val="0"/>
              <w:adjustRightInd w:val="0"/>
              <w:spacing w:line="336" w:lineRule="auto"/>
              <w:ind w:firstLine="480" w:firstLineChars="200"/>
              <w:jc w:val="both"/>
              <w:rPr>
                <w:color w:val="auto"/>
                <w:sz w:val="24"/>
                <w:szCs w:val="22"/>
              </w:rPr>
            </w:pPr>
          </w:p>
          <w:p>
            <w:pPr>
              <w:autoSpaceDE w:val="0"/>
              <w:autoSpaceDN w:val="0"/>
              <w:adjustRightInd w:val="0"/>
              <w:spacing w:line="336" w:lineRule="auto"/>
              <w:ind w:firstLine="480" w:firstLineChars="200"/>
              <w:jc w:val="both"/>
              <w:rPr>
                <w:color w:val="auto"/>
                <w:sz w:val="24"/>
                <w:szCs w:val="22"/>
              </w:rPr>
            </w:pPr>
          </w:p>
          <w:p>
            <w:pPr>
              <w:autoSpaceDE w:val="0"/>
              <w:autoSpaceDN w:val="0"/>
              <w:adjustRightInd w:val="0"/>
              <w:spacing w:line="336" w:lineRule="auto"/>
              <w:ind w:firstLine="480" w:firstLineChars="200"/>
              <w:jc w:val="both"/>
              <w:rPr>
                <w:color w:val="auto"/>
                <w:sz w:val="24"/>
                <w:szCs w:val="22"/>
              </w:rPr>
            </w:pPr>
            <w:r>
              <w:rPr>
                <w:color w:val="auto"/>
                <w:sz w:val="24"/>
                <w:szCs w:val="22"/>
              </w:rPr>
              <w:t>本项目位于王洼沟</w:t>
            </w:r>
            <w:r>
              <w:rPr>
                <w:rFonts w:hint="eastAsia"/>
                <w:color w:val="auto"/>
                <w:sz w:val="24"/>
                <w:szCs w:val="22"/>
              </w:rPr>
              <w:t>内</w:t>
            </w:r>
            <w:r>
              <w:rPr>
                <w:color w:val="auto"/>
                <w:sz w:val="24"/>
                <w:szCs w:val="22"/>
              </w:rPr>
              <w:t>，项目区域无自然保护区、风景名胜区、国家重点文物保护单位、珍稀动植物等环境敏感区</w:t>
            </w:r>
            <w:r>
              <w:rPr>
                <w:rFonts w:hint="eastAsia"/>
                <w:color w:val="auto"/>
                <w:sz w:val="24"/>
                <w:szCs w:val="22"/>
              </w:rPr>
              <w:t>及重点文物古迹，无明显的环境制约因素，项目所在区域供水、供电以及交通运输便利。</w:t>
            </w:r>
            <w:r>
              <w:rPr>
                <w:rFonts w:hint="eastAsia"/>
                <w:bCs/>
                <w:color w:val="auto"/>
                <w:sz w:val="24"/>
                <w:szCs w:val="22"/>
              </w:rPr>
              <w:t>本项目主要对矸石场、岸坡治理工程、</w:t>
            </w:r>
            <w:r>
              <w:rPr>
                <w:bCs/>
                <w:color w:val="auto"/>
                <w:sz w:val="24"/>
                <w:szCs w:val="22"/>
              </w:rPr>
              <w:t>II类一般工业固体废物处置</w:t>
            </w:r>
            <w:r>
              <w:rPr>
                <w:rFonts w:hint="eastAsia"/>
                <w:bCs/>
                <w:color w:val="auto"/>
                <w:sz w:val="24"/>
                <w:szCs w:val="22"/>
              </w:rPr>
              <w:t>场等排洪设施不满足排洪要求问题开展治理，对王洼沟排洪设施进行改造，</w:t>
            </w:r>
            <w:r>
              <w:rPr>
                <w:rFonts w:hint="eastAsia"/>
                <w:color w:val="auto"/>
                <w:sz w:val="24"/>
                <w:szCs w:val="22"/>
              </w:rPr>
              <w:t>通过本防洪工程的建设以达到王洼二矿工业场地、矸石场及范新庄水库标准内洪水泄流畅通，保证区域防洪安全，同时减轻矸石场对河道水环境的污染风险。综上分析，本项目选址合理可行。</w:t>
            </w:r>
          </w:p>
          <w:p>
            <w:pPr>
              <w:pStyle w:val="2"/>
              <w:ind w:firstLine="210"/>
              <w:jc w:val="both"/>
              <w:rPr>
                <w:color w:val="auto"/>
              </w:rPr>
            </w:pPr>
            <w:r>
              <w:rPr>
                <w:color w:val="auto"/>
              </w:rPr>
              <w:br w:type="textWrapping"/>
            </w:r>
            <w:r>
              <w:rPr>
                <w:color w:val="auto"/>
              </w:rPr>
              <w:br w:type="textWrapping"/>
            </w:r>
            <w:r>
              <w:rPr>
                <w:color w:val="auto"/>
              </w:rPr>
              <w:br w:type="textWrapping"/>
            </w:r>
            <w:r>
              <w:rPr>
                <w:color w:val="auto"/>
              </w:rPr>
              <w:br w:type="textWrapping"/>
            </w:r>
            <w:r>
              <w:rPr>
                <w:color w:val="auto"/>
              </w:rPr>
              <w:br w:type="textWrapping"/>
            </w:r>
            <w:r>
              <w:rPr>
                <w:color w:val="auto"/>
              </w:rPr>
              <w:br w:type="textWrapping"/>
            </w:r>
            <w:r>
              <w:rPr>
                <w:color w:val="auto"/>
              </w:rPr>
              <w:br w:type="textWrapping"/>
            </w:r>
            <w:r>
              <w:rPr>
                <w:color w:val="auto"/>
              </w:rPr>
              <w:br w:type="textWrapping"/>
            </w:r>
          </w:p>
          <w:p>
            <w:pPr>
              <w:jc w:val="both"/>
              <w:rPr>
                <w:color w:val="auto"/>
              </w:rPr>
            </w:pPr>
          </w:p>
        </w:tc>
      </w:tr>
    </w:tbl>
    <w:p>
      <w:pPr>
        <w:pStyle w:val="17"/>
        <w:jc w:val="center"/>
        <w:rPr>
          <w:rFonts w:ascii="Times New Roman" w:hAnsi="Times New Roman" w:eastAsia="黑体"/>
          <w:snapToGrid w:val="0"/>
          <w:color w:val="auto"/>
          <w:szCs w:val="24"/>
        </w:rPr>
        <w:sectPr>
          <w:pgSz w:w="11906" w:h="16838"/>
          <w:pgMar w:top="1440" w:right="1800" w:bottom="1440" w:left="1800" w:header="851" w:footer="1077" w:gutter="0"/>
          <w:cols w:space="720" w:num="1"/>
          <w:docGrid w:linePitch="312" w:charSpace="0"/>
        </w:sectPr>
      </w:pPr>
    </w:p>
    <w:p>
      <w:pPr>
        <w:adjustRightInd w:val="0"/>
        <w:snapToGrid w:val="0"/>
        <w:outlineLvl w:val="0"/>
        <w:rPr>
          <w:b/>
          <w:color w:val="auto"/>
          <w:sz w:val="30"/>
          <w:szCs w:val="30"/>
        </w:rPr>
      </w:pPr>
      <w:r>
        <w:rPr>
          <w:b/>
          <w:color w:val="auto"/>
          <w:sz w:val="30"/>
          <w:szCs w:val="30"/>
        </w:rPr>
        <w:t>五、主要生态环境保护措施</w:t>
      </w:r>
    </w:p>
    <w:tbl>
      <w:tblPr>
        <w:tblStyle w:val="19"/>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8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718" w:type="dxa"/>
            <w:tcMar>
              <w:left w:w="28" w:type="dxa"/>
              <w:right w:w="28" w:type="dxa"/>
            </w:tcMar>
            <w:vAlign w:val="center"/>
          </w:tcPr>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r>
              <w:rPr>
                <w:bCs/>
                <w:color w:val="auto"/>
                <w:spacing w:val="10"/>
                <w:sz w:val="24"/>
              </w:rPr>
              <w:t>施工期生态环境保护措施</w:t>
            </w: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r>
              <w:rPr>
                <w:bCs/>
                <w:color w:val="auto"/>
                <w:spacing w:val="10"/>
                <w:sz w:val="24"/>
              </w:rPr>
              <w:t>施工期生态环境保护措施</w:t>
            </w: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pStyle w:val="2"/>
              <w:ind w:firstLine="210"/>
              <w:rPr>
                <w:color w:val="auto"/>
              </w:rPr>
            </w:pPr>
          </w:p>
          <w:p>
            <w:pPr>
              <w:rPr>
                <w:color w:val="auto"/>
              </w:rPr>
            </w:pPr>
          </w:p>
          <w:p>
            <w:pPr>
              <w:pStyle w:val="2"/>
              <w:ind w:firstLine="210"/>
              <w:rPr>
                <w:color w:val="auto"/>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r>
              <w:rPr>
                <w:bCs/>
                <w:color w:val="auto"/>
                <w:spacing w:val="10"/>
                <w:sz w:val="24"/>
              </w:rPr>
              <w:t>施工期生态环境保护措施</w:t>
            </w: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rPr>
                <w:rFonts w:hint="eastAsia"/>
                <w:color w:val="auto"/>
              </w:rPr>
            </w:pPr>
          </w:p>
          <w:p>
            <w:pPr>
              <w:rPr>
                <w:color w:val="auto"/>
              </w:rPr>
            </w:pPr>
          </w:p>
          <w:p>
            <w:pPr>
              <w:adjustRightInd w:val="0"/>
              <w:snapToGrid w:val="0"/>
              <w:jc w:val="center"/>
              <w:rPr>
                <w:bCs/>
                <w:color w:val="auto"/>
                <w:spacing w:val="10"/>
                <w:sz w:val="24"/>
              </w:rPr>
            </w:pPr>
          </w:p>
          <w:p>
            <w:pPr>
              <w:adjustRightInd w:val="0"/>
              <w:snapToGrid w:val="0"/>
              <w:jc w:val="center"/>
              <w:rPr>
                <w:bCs/>
                <w:color w:val="auto"/>
                <w:spacing w:val="10"/>
                <w:sz w:val="24"/>
              </w:rPr>
            </w:pPr>
            <w:r>
              <w:rPr>
                <w:bCs/>
                <w:color w:val="auto"/>
                <w:spacing w:val="10"/>
                <w:sz w:val="24"/>
              </w:rPr>
              <w:t>施工期生态环境保护措施</w:t>
            </w: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pStyle w:val="2"/>
              <w:ind w:firstLine="210"/>
              <w:rPr>
                <w:color w:val="auto"/>
              </w:rPr>
            </w:pPr>
          </w:p>
          <w:p>
            <w:pPr>
              <w:rPr>
                <w:color w:val="auto"/>
              </w:rPr>
            </w:pPr>
          </w:p>
          <w:p>
            <w:pPr>
              <w:pStyle w:val="2"/>
              <w:ind w:firstLine="210"/>
              <w:rPr>
                <w:color w:val="auto"/>
              </w:rPr>
            </w:pPr>
          </w:p>
          <w:p>
            <w:pPr>
              <w:rPr>
                <w:color w:val="auto"/>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r>
              <w:rPr>
                <w:bCs/>
                <w:color w:val="auto"/>
                <w:spacing w:val="10"/>
                <w:sz w:val="24"/>
              </w:rPr>
              <w:t>施工期生态环境保护措施</w:t>
            </w: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rPr>
                <w:color w:val="auto"/>
              </w:rPr>
            </w:pPr>
          </w:p>
          <w:p>
            <w:pPr>
              <w:adjustRightInd w:val="0"/>
              <w:snapToGrid w:val="0"/>
              <w:jc w:val="center"/>
              <w:rPr>
                <w:bCs/>
                <w:color w:val="auto"/>
                <w:spacing w:val="10"/>
                <w:sz w:val="24"/>
              </w:rPr>
            </w:pPr>
            <w:r>
              <w:rPr>
                <w:bCs/>
                <w:color w:val="auto"/>
                <w:spacing w:val="10"/>
                <w:sz w:val="24"/>
              </w:rPr>
              <w:t>施工期生态环境保护措施</w:t>
            </w: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rPr>
                <w:color w:val="auto"/>
              </w:rPr>
            </w:pPr>
          </w:p>
          <w:p>
            <w:pPr>
              <w:pStyle w:val="2"/>
              <w:ind w:firstLine="210"/>
              <w:rPr>
                <w:color w:val="auto"/>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r>
              <w:rPr>
                <w:bCs/>
                <w:color w:val="auto"/>
                <w:spacing w:val="10"/>
                <w:sz w:val="24"/>
              </w:rPr>
              <w:t>施工期生态环境保护措施</w:t>
            </w: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r>
              <w:rPr>
                <w:bCs/>
                <w:color w:val="auto"/>
                <w:spacing w:val="10"/>
                <w:sz w:val="24"/>
              </w:rPr>
              <w:t>施工期生态环境保护措施</w:t>
            </w: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rPr>
                <w:rFonts w:hint="eastAsia"/>
                <w:bCs/>
                <w:color w:val="auto"/>
                <w:spacing w:val="10"/>
                <w:sz w:val="24"/>
              </w:rPr>
            </w:pPr>
          </w:p>
          <w:p>
            <w:pPr>
              <w:adjustRightInd w:val="0"/>
              <w:snapToGrid w:val="0"/>
              <w:jc w:val="center"/>
              <w:rPr>
                <w:bCs/>
                <w:color w:val="auto"/>
                <w:sz w:val="24"/>
              </w:rPr>
            </w:pPr>
          </w:p>
        </w:tc>
        <w:tc>
          <w:tcPr>
            <w:tcW w:w="8492" w:type="dxa"/>
          </w:tcPr>
          <w:p>
            <w:pPr>
              <w:adjustRightInd w:val="0"/>
              <w:snapToGrid w:val="0"/>
              <w:spacing w:line="360" w:lineRule="auto"/>
              <w:ind w:firstLine="482" w:firstLineChars="200"/>
              <w:rPr>
                <w:b/>
                <w:bCs/>
                <w:color w:val="auto"/>
                <w:sz w:val="24"/>
                <w:szCs w:val="22"/>
              </w:rPr>
            </w:pPr>
            <w:r>
              <w:rPr>
                <w:b/>
                <w:bCs/>
                <w:color w:val="auto"/>
                <w:sz w:val="24"/>
                <w:szCs w:val="22"/>
              </w:rPr>
              <w:t>1、废气防治措施</w:t>
            </w:r>
          </w:p>
          <w:p>
            <w:pPr>
              <w:adjustRightInd w:val="0"/>
              <w:snapToGrid w:val="0"/>
              <w:spacing w:line="360" w:lineRule="auto"/>
              <w:ind w:firstLine="482" w:firstLineChars="200"/>
              <w:rPr>
                <w:rFonts w:hint="eastAsia"/>
                <w:b/>
                <w:bCs/>
                <w:color w:val="auto"/>
                <w:sz w:val="24"/>
                <w:szCs w:val="22"/>
                <w:highlight w:val="none"/>
                <w:lang w:val="en-US" w:eastAsia="zh-CN"/>
              </w:rPr>
            </w:pPr>
            <w:r>
              <w:rPr>
                <w:rFonts w:hint="eastAsia"/>
                <w:b/>
                <w:bCs/>
                <w:color w:val="auto"/>
                <w:sz w:val="24"/>
                <w:szCs w:val="22"/>
                <w:highlight w:val="none"/>
                <w:lang w:val="en-US" w:eastAsia="zh-CN"/>
              </w:rPr>
              <w:fldChar w:fldCharType="begin"/>
            </w:r>
            <w:r>
              <w:rPr>
                <w:rFonts w:hint="eastAsia"/>
                <w:b/>
                <w:bCs/>
                <w:color w:val="auto"/>
                <w:sz w:val="24"/>
                <w:szCs w:val="22"/>
                <w:highlight w:val="none"/>
                <w:lang w:val="en-US" w:eastAsia="zh-CN"/>
              </w:rPr>
              <w:instrText xml:space="preserve"> = 1 \* GB2 \* MERGEFORMAT </w:instrText>
            </w:r>
            <w:r>
              <w:rPr>
                <w:rFonts w:hint="eastAsia"/>
                <w:b/>
                <w:bCs/>
                <w:color w:val="auto"/>
                <w:sz w:val="24"/>
                <w:szCs w:val="22"/>
                <w:highlight w:val="none"/>
                <w:lang w:val="en-US" w:eastAsia="zh-CN"/>
              </w:rPr>
              <w:fldChar w:fldCharType="separate"/>
            </w:r>
            <w:r>
              <w:rPr>
                <w:rFonts w:hint="eastAsia"/>
                <w:b/>
                <w:bCs/>
                <w:color w:val="auto"/>
                <w:sz w:val="24"/>
                <w:szCs w:val="22"/>
                <w:highlight w:val="none"/>
                <w:lang w:val="en-US" w:eastAsia="zh-CN"/>
              </w:rPr>
              <w:t>⑴</w:t>
            </w:r>
            <w:r>
              <w:rPr>
                <w:rFonts w:hint="eastAsia"/>
                <w:b/>
                <w:bCs/>
                <w:color w:val="auto"/>
                <w:sz w:val="24"/>
                <w:szCs w:val="22"/>
                <w:highlight w:val="none"/>
                <w:lang w:val="en-US" w:eastAsia="zh-CN"/>
              </w:rPr>
              <w:fldChar w:fldCharType="end"/>
            </w:r>
            <w:r>
              <w:rPr>
                <w:rFonts w:hint="eastAsia"/>
                <w:b/>
                <w:bCs/>
                <w:color w:val="auto"/>
                <w:sz w:val="24"/>
                <w:szCs w:val="22"/>
                <w:highlight w:val="none"/>
                <w:lang w:val="en-US" w:eastAsia="zh-CN"/>
              </w:rPr>
              <w:t>施工扬尘</w:t>
            </w:r>
          </w:p>
          <w:p>
            <w:pPr>
              <w:adjustRightInd w:val="0"/>
              <w:snapToGrid w:val="0"/>
              <w:spacing w:line="360" w:lineRule="auto"/>
              <w:ind w:firstLine="480" w:firstLineChars="200"/>
              <w:rPr>
                <w:color w:val="auto"/>
                <w:sz w:val="24"/>
                <w:szCs w:val="22"/>
                <w:highlight w:val="none"/>
              </w:rPr>
            </w:pPr>
            <w:r>
              <w:rPr>
                <w:color w:val="auto"/>
                <w:sz w:val="24"/>
                <w:szCs w:val="22"/>
                <w:highlight w:val="none"/>
              </w:rPr>
              <w:t>施工期的主要空气污染物是作业期间产生的扬尘。施工扬尘污染主要来自施工开挖、岸坡平整、施工材料运输装卸仓库储存等过程均会产生扬尘。</w:t>
            </w:r>
          </w:p>
          <w:p>
            <w:pPr>
              <w:adjustRightInd w:val="0"/>
              <w:snapToGrid w:val="0"/>
              <w:spacing w:line="360" w:lineRule="auto"/>
              <w:ind w:firstLine="480" w:firstLineChars="200"/>
              <w:rPr>
                <w:color w:val="auto"/>
                <w:sz w:val="24"/>
                <w:szCs w:val="22"/>
                <w:highlight w:val="none"/>
              </w:rPr>
            </w:pPr>
            <w:r>
              <w:rPr>
                <w:rFonts w:hint="eastAsia"/>
                <w:color w:val="auto"/>
                <w:sz w:val="24"/>
                <w:szCs w:val="22"/>
                <w:highlight w:val="none"/>
                <w:lang w:eastAsia="zh-CN"/>
              </w:rPr>
              <w:t>本工程</w:t>
            </w:r>
            <w:r>
              <w:rPr>
                <w:color w:val="auto"/>
                <w:sz w:val="24"/>
                <w:szCs w:val="22"/>
                <w:highlight w:val="none"/>
              </w:rPr>
              <w:t>施工材料采用水泥混凝土，砂石及水泥稳定碎石基层等均外购，不设置砂石料场，从源头上大大削减了扬尘的产生和排放。</w:t>
            </w:r>
          </w:p>
          <w:p>
            <w:pPr>
              <w:adjustRightInd w:val="0"/>
              <w:snapToGrid w:val="0"/>
              <w:spacing w:line="360" w:lineRule="auto"/>
              <w:ind w:firstLine="480" w:firstLineChars="200"/>
              <w:rPr>
                <w:color w:val="auto"/>
                <w:highlight w:val="none"/>
              </w:rPr>
            </w:pPr>
            <w:r>
              <w:rPr>
                <w:color w:val="auto"/>
                <w:sz w:val="24"/>
                <w:szCs w:val="22"/>
                <w:highlight w:val="none"/>
              </w:rPr>
              <w:t>建筑施工中，建设单位在承包合同中要明确施工单位扬尘污染防治责任；对暂时不能开工的裸露地面进行覆盖，超过三个月的，应当进行绿化、铺装或者遮盖；运输砂石、土方、水泥、渣土、垃圾等易产生扬尘的车辆，必须避开车行高峰时段，实行密闭或覆盖运输，严禁撒漏；贮存水泥、砂土等易产生扬尘的物料应当密闭；不能密闭的，应当设置不低于堆放物高度的严密围挡，并采取有效覆盖措施防治扬尘污染；加强道路的清扫保洁管理，推行清洁动力机械化清扫等低尘作业方式，防治扬尘污染。”</w:t>
            </w:r>
          </w:p>
          <w:p>
            <w:pPr>
              <w:adjustRightInd w:val="0"/>
              <w:snapToGrid w:val="0"/>
              <w:spacing w:line="360" w:lineRule="auto"/>
              <w:ind w:firstLine="480" w:firstLineChars="200"/>
              <w:rPr>
                <w:color w:val="auto"/>
                <w:sz w:val="24"/>
                <w:szCs w:val="22"/>
                <w:highlight w:val="none"/>
              </w:rPr>
            </w:pPr>
            <w:r>
              <w:rPr>
                <w:rFonts w:hint="eastAsia"/>
                <w:color w:val="auto"/>
                <w:sz w:val="24"/>
                <w:szCs w:val="22"/>
                <w:highlight w:val="none"/>
                <w:lang w:eastAsia="zh-CN"/>
              </w:rPr>
              <w:t>本工程</w:t>
            </w:r>
            <w:r>
              <w:rPr>
                <w:color w:val="auto"/>
                <w:sz w:val="24"/>
                <w:szCs w:val="22"/>
                <w:highlight w:val="none"/>
              </w:rPr>
              <w:t>施工期的大气污染源较分散，且源强难于定量估算，为减少施工期产生的扬尘和废气对周围环境产生影响，施工场地施工扬尘污染主要采取以下防治措施：</w:t>
            </w:r>
          </w:p>
          <w:p>
            <w:pPr>
              <w:adjustRightInd w:val="0"/>
              <w:snapToGrid w:val="0"/>
              <w:spacing w:line="360" w:lineRule="auto"/>
              <w:ind w:firstLine="480" w:firstLineChars="200"/>
              <w:rPr>
                <w:color w:val="auto"/>
                <w:sz w:val="24"/>
                <w:szCs w:val="22"/>
                <w:highlight w:val="none"/>
              </w:rPr>
            </w:pPr>
            <w:r>
              <w:rPr>
                <w:rFonts w:hint="eastAsia"/>
                <w:color w:val="auto"/>
                <w:sz w:val="24"/>
                <w:szCs w:val="22"/>
                <w:highlight w:val="none"/>
                <w:lang w:val="en-US" w:eastAsia="zh-CN"/>
              </w:rPr>
              <w:t>1）</w:t>
            </w:r>
            <w:r>
              <w:rPr>
                <w:color w:val="auto"/>
                <w:sz w:val="24"/>
                <w:szCs w:val="22"/>
                <w:highlight w:val="none"/>
              </w:rPr>
              <w:t>施工场地要有专人负责，在大风天气或空气干燥易产生扬尘的天气条件下，采用洒水等措施减少扬尘污染；</w:t>
            </w:r>
          </w:p>
          <w:p>
            <w:pPr>
              <w:adjustRightInd w:val="0"/>
              <w:snapToGrid w:val="0"/>
              <w:spacing w:line="360" w:lineRule="auto"/>
              <w:ind w:firstLine="480" w:firstLineChars="200"/>
              <w:rPr>
                <w:color w:val="auto"/>
                <w:sz w:val="24"/>
                <w:szCs w:val="22"/>
                <w:highlight w:val="none"/>
              </w:rPr>
            </w:pPr>
            <w:r>
              <w:rPr>
                <w:rFonts w:hint="eastAsia"/>
                <w:color w:val="auto"/>
                <w:sz w:val="24"/>
                <w:szCs w:val="22"/>
                <w:highlight w:val="none"/>
                <w:lang w:val="en-US" w:eastAsia="zh-CN"/>
              </w:rPr>
              <w:t>2）</w:t>
            </w:r>
            <w:r>
              <w:rPr>
                <w:color w:val="auto"/>
                <w:sz w:val="24"/>
                <w:szCs w:val="22"/>
                <w:highlight w:val="none"/>
              </w:rPr>
              <w:t>运输易产生粉尘的建筑材料应加盖篷布，车辆不应装载过满，以免在运输途中震动洒落；</w:t>
            </w:r>
          </w:p>
          <w:p>
            <w:pPr>
              <w:adjustRightInd w:val="0"/>
              <w:snapToGrid w:val="0"/>
              <w:spacing w:line="360" w:lineRule="auto"/>
              <w:ind w:firstLine="480" w:firstLineChars="200"/>
              <w:rPr>
                <w:color w:val="auto"/>
                <w:sz w:val="24"/>
                <w:szCs w:val="22"/>
                <w:highlight w:val="none"/>
              </w:rPr>
            </w:pPr>
            <w:r>
              <w:rPr>
                <w:rFonts w:hint="eastAsia"/>
                <w:color w:val="auto"/>
                <w:sz w:val="24"/>
                <w:szCs w:val="22"/>
                <w:highlight w:val="none"/>
                <w:lang w:val="en-US" w:eastAsia="zh-CN"/>
              </w:rPr>
              <w:t>3）</w:t>
            </w:r>
            <w:r>
              <w:rPr>
                <w:color w:val="auto"/>
                <w:sz w:val="24"/>
                <w:szCs w:val="22"/>
                <w:highlight w:val="none"/>
              </w:rPr>
              <w:t>燃油机械尽量使用优质燃料，定期对燃油机械、尾气净化器、消烟除尘等设备进行检测与维护。加强对施工机械管理，科学安排其运行时间，严格按照施工时间作业；</w:t>
            </w:r>
          </w:p>
          <w:p>
            <w:pPr>
              <w:adjustRightInd w:val="0"/>
              <w:snapToGrid w:val="0"/>
              <w:spacing w:line="360" w:lineRule="auto"/>
              <w:ind w:firstLine="480" w:firstLineChars="200"/>
              <w:rPr>
                <w:color w:val="auto"/>
                <w:sz w:val="24"/>
                <w:szCs w:val="22"/>
                <w:highlight w:val="none"/>
              </w:rPr>
            </w:pPr>
            <w:r>
              <w:rPr>
                <w:rFonts w:hint="eastAsia"/>
                <w:color w:val="auto"/>
                <w:sz w:val="24"/>
                <w:szCs w:val="22"/>
                <w:highlight w:val="none"/>
                <w:lang w:val="en-US" w:eastAsia="zh-CN"/>
              </w:rPr>
              <w:t>4）</w:t>
            </w:r>
            <w:r>
              <w:rPr>
                <w:color w:val="auto"/>
                <w:sz w:val="24"/>
                <w:szCs w:val="22"/>
                <w:highlight w:val="none"/>
              </w:rPr>
              <w:t>施工渣土未及时清运时，沙土、裸地应使用防尘布100%覆盖或喷漆凝固剂等方式，所有粉料建材用防尘布覆盖或使用料仓存放，采取覆盖防尘布、覆盖防尘网、配合定期喷洒粉尘抑尘剂等措施，防止风蚀起尘；</w:t>
            </w:r>
          </w:p>
          <w:p>
            <w:pPr>
              <w:adjustRightInd w:val="0"/>
              <w:snapToGrid w:val="0"/>
              <w:spacing w:line="360" w:lineRule="auto"/>
              <w:ind w:firstLine="480" w:firstLineChars="200"/>
              <w:rPr>
                <w:color w:val="auto"/>
                <w:sz w:val="24"/>
                <w:szCs w:val="22"/>
                <w:highlight w:val="none"/>
              </w:rPr>
            </w:pPr>
            <w:r>
              <w:rPr>
                <w:rFonts w:hint="eastAsia"/>
                <w:color w:val="auto"/>
                <w:sz w:val="24"/>
                <w:szCs w:val="22"/>
                <w:highlight w:val="none"/>
                <w:lang w:val="en-US" w:eastAsia="zh-CN"/>
              </w:rPr>
              <w:t>5）</w:t>
            </w:r>
            <w:r>
              <w:rPr>
                <w:rFonts w:hint="eastAsia"/>
                <w:color w:val="auto"/>
                <w:sz w:val="24"/>
                <w:szCs w:val="22"/>
                <w:highlight w:val="none"/>
                <w:lang w:eastAsia="zh-CN"/>
              </w:rPr>
              <w:t>砂石料</w:t>
            </w:r>
            <w:r>
              <w:rPr>
                <w:color w:val="auto"/>
                <w:sz w:val="24"/>
                <w:szCs w:val="22"/>
                <w:highlight w:val="none"/>
              </w:rPr>
              <w:t>运输车辆应在洗车平台冲洗轮胎及车身，做到100%出工地车辆冲洗车轮，其车轮表面不得附着污泥。物料、渣土运输车辆，装载的物料、渣土高度不得超过车辆槽帮上沿，车斗用苫布遮盖或者采用密闭车斗；</w:t>
            </w:r>
          </w:p>
          <w:p>
            <w:pPr>
              <w:adjustRightInd w:val="0"/>
              <w:snapToGrid w:val="0"/>
              <w:spacing w:line="360" w:lineRule="auto"/>
              <w:ind w:firstLine="480" w:firstLineChars="200"/>
              <w:rPr>
                <w:rFonts w:hint="eastAsia" w:eastAsia="宋体"/>
                <w:color w:val="auto"/>
                <w:sz w:val="24"/>
                <w:szCs w:val="22"/>
                <w:highlight w:val="none"/>
                <w:lang w:eastAsia="zh-CN"/>
              </w:rPr>
            </w:pPr>
            <w:r>
              <w:rPr>
                <w:rFonts w:hint="eastAsia"/>
                <w:color w:val="auto"/>
                <w:sz w:val="24"/>
                <w:szCs w:val="22"/>
                <w:highlight w:val="none"/>
                <w:lang w:val="en-US" w:eastAsia="zh-CN"/>
              </w:rPr>
              <w:t>6）</w:t>
            </w:r>
            <w:r>
              <w:rPr>
                <w:color w:val="auto"/>
                <w:sz w:val="24"/>
                <w:szCs w:val="22"/>
                <w:highlight w:val="none"/>
              </w:rPr>
              <w:t>加强施工环境管理，做到施工现场控制扬尘做到6个100%</w:t>
            </w:r>
            <w:r>
              <w:rPr>
                <w:rFonts w:hint="eastAsia"/>
                <w:color w:val="auto"/>
                <w:sz w:val="24"/>
                <w:szCs w:val="22"/>
                <w:highlight w:val="none"/>
                <w:lang w:eastAsia="zh-CN"/>
              </w:rPr>
              <w:t>；</w:t>
            </w:r>
          </w:p>
          <w:p>
            <w:pPr>
              <w:adjustRightInd w:val="0"/>
              <w:snapToGrid w:val="0"/>
              <w:spacing w:line="360" w:lineRule="auto"/>
              <w:ind w:firstLine="480" w:firstLineChars="200"/>
              <w:rPr>
                <w:rFonts w:hint="eastAsia"/>
                <w:color w:val="auto"/>
                <w:sz w:val="24"/>
                <w:szCs w:val="22"/>
                <w:highlight w:val="none"/>
                <w:lang w:eastAsia="zh-CN"/>
              </w:rPr>
            </w:pPr>
            <w:r>
              <w:rPr>
                <w:rFonts w:hint="eastAsia"/>
                <w:color w:val="auto"/>
                <w:sz w:val="24"/>
                <w:szCs w:val="22"/>
                <w:highlight w:val="none"/>
                <w:lang w:val="en-US" w:eastAsia="zh-CN"/>
              </w:rPr>
              <w:t>7）</w:t>
            </w:r>
            <w:r>
              <w:rPr>
                <w:color w:val="auto"/>
                <w:sz w:val="24"/>
                <w:szCs w:val="22"/>
                <w:highlight w:val="none"/>
              </w:rPr>
              <w:t>在开挖干燥土面时，适当喷水，使作业面保持一定的湿度</w:t>
            </w:r>
            <w:r>
              <w:rPr>
                <w:rFonts w:hint="eastAsia"/>
                <w:color w:val="auto"/>
                <w:sz w:val="24"/>
                <w:szCs w:val="22"/>
                <w:highlight w:val="none"/>
                <w:lang w:eastAsia="zh-CN"/>
              </w:rPr>
              <w:t>；</w:t>
            </w:r>
          </w:p>
          <w:p>
            <w:pPr>
              <w:adjustRightInd w:val="0"/>
              <w:snapToGrid w:val="0"/>
              <w:spacing w:line="360" w:lineRule="auto"/>
              <w:ind w:firstLine="480" w:firstLineChars="200"/>
              <w:rPr>
                <w:rFonts w:hint="eastAsia" w:eastAsia="宋体"/>
                <w:color w:val="auto"/>
                <w:sz w:val="24"/>
                <w:szCs w:val="22"/>
                <w:highlight w:val="none"/>
                <w:lang w:eastAsia="zh-CN"/>
              </w:rPr>
            </w:pPr>
            <w:r>
              <w:rPr>
                <w:rFonts w:hint="eastAsia"/>
                <w:color w:val="auto"/>
                <w:sz w:val="24"/>
                <w:szCs w:val="22"/>
                <w:highlight w:val="none"/>
                <w:lang w:val="en-US" w:eastAsia="zh-CN"/>
              </w:rPr>
              <w:t>8</w:t>
            </w:r>
            <w:r>
              <w:rPr>
                <w:rFonts w:hint="eastAsia"/>
                <w:color w:val="auto"/>
                <w:sz w:val="24"/>
                <w:szCs w:val="22"/>
                <w:highlight w:val="none"/>
                <w:lang w:eastAsia="zh-CN"/>
              </w:rPr>
              <w:t>）</w:t>
            </w:r>
            <w:r>
              <w:rPr>
                <w:color w:val="auto"/>
                <w:sz w:val="24"/>
                <w:szCs w:val="22"/>
                <w:highlight w:val="none"/>
              </w:rPr>
              <w:t>施工如遇4级以上大风天气情况下，停止所有土石方工程，做好遮盖工作</w:t>
            </w:r>
            <w:r>
              <w:rPr>
                <w:rFonts w:hint="eastAsia"/>
                <w:color w:val="auto"/>
                <w:sz w:val="24"/>
                <w:szCs w:val="22"/>
                <w:highlight w:val="none"/>
                <w:lang w:eastAsia="zh-CN"/>
              </w:rPr>
              <w:t>；</w:t>
            </w:r>
          </w:p>
          <w:p>
            <w:pPr>
              <w:adjustRightInd w:val="0"/>
              <w:snapToGrid w:val="0"/>
              <w:spacing w:line="360" w:lineRule="auto"/>
              <w:ind w:firstLine="480" w:firstLineChars="200"/>
              <w:rPr>
                <w:rFonts w:hint="eastAsia" w:eastAsia="宋体"/>
                <w:color w:val="auto"/>
                <w:sz w:val="24"/>
                <w:szCs w:val="22"/>
                <w:highlight w:val="none"/>
                <w:lang w:eastAsia="zh-CN"/>
              </w:rPr>
            </w:pPr>
            <w:r>
              <w:rPr>
                <w:rFonts w:hint="eastAsia"/>
                <w:color w:val="auto"/>
                <w:sz w:val="24"/>
                <w:szCs w:val="22"/>
                <w:highlight w:val="none"/>
                <w:lang w:val="en-US" w:eastAsia="zh-CN"/>
              </w:rPr>
              <w:t>9）</w:t>
            </w:r>
            <w:r>
              <w:rPr>
                <w:color w:val="auto"/>
                <w:sz w:val="24"/>
                <w:szCs w:val="22"/>
                <w:highlight w:val="none"/>
              </w:rPr>
              <w:t>运输车辆进入施工场地低速行驶或限速行驶，减少产尘量</w:t>
            </w:r>
            <w:r>
              <w:rPr>
                <w:rFonts w:hint="eastAsia"/>
                <w:color w:val="auto"/>
                <w:sz w:val="24"/>
                <w:szCs w:val="22"/>
                <w:highlight w:val="none"/>
                <w:lang w:eastAsia="zh-CN"/>
              </w:rPr>
              <w:t>；</w:t>
            </w:r>
          </w:p>
          <w:p>
            <w:pPr>
              <w:adjustRightInd w:val="0"/>
              <w:snapToGrid w:val="0"/>
              <w:spacing w:line="360" w:lineRule="auto"/>
              <w:ind w:firstLine="480" w:firstLineChars="200"/>
              <w:rPr>
                <w:rFonts w:hint="eastAsia" w:eastAsia="宋体"/>
                <w:color w:val="auto"/>
                <w:sz w:val="24"/>
                <w:szCs w:val="22"/>
                <w:highlight w:val="none"/>
                <w:lang w:eastAsia="zh-CN"/>
              </w:rPr>
            </w:pPr>
            <w:r>
              <w:rPr>
                <w:rFonts w:hint="eastAsia"/>
                <w:color w:val="auto"/>
                <w:sz w:val="24"/>
                <w:szCs w:val="22"/>
                <w:highlight w:val="none"/>
                <w:lang w:val="en-US" w:eastAsia="zh-CN"/>
              </w:rPr>
              <w:t>10）</w:t>
            </w:r>
            <w:r>
              <w:rPr>
                <w:color w:val="auto"/>
                <w:sz w:val="24"/>
                <w:szCs w:val="22"/>
                <w:highlight w:val="none"/>
              </w:rPr>
              <w:t>遇有空气重污染预警三级时，应减少土石方施工开挖规模，建筑拆除等施工必须采取有效的覆盖、洒水等扬尘控制措施；遇有空气重污染预警一级、二级时，施工工地停止土石方和建筑拆除施工，停止渣土车、砂石车等易扬尘车辆运输</w:t>
            </w:r>
            <w:r>
              <w:rPr>
                <w:rFonts w:hint="eastAsia"/>
                <w:color w:val="auto"/>
                <w:sz w:val="24"/>
                <w:szCs w:val="22"/>
                <w:highlight w:val="none"/>
                <w:lang w:eastAsia="zh-CN"/>
              </w:rPr>
              <w:t>；</w:t>
            </w:r>
          </w:p>
          <w:p>
            <w:pPr>
              <w:adjustRightInd w:val="0"/>
              <w:snapToGrid w:val="0"/>
              <w:spacing w:line="360" w:lineRule="auto"/>
              <w:ind w:firstLine="480" w:firstLineChars="200"/>
              <w:rPr>
                <w:color w:val="auto"/>
                <w:sz w:val="24"/>
                <w:szCs w:val="22"/>
                <w:highlight w:val="none"/>
              </w:rPr>
            </w:pPr>
            <w:r>
              <w:rPr>
                <w:color w:val="auto"/>
                <w:sz w:val="24"/>
                <w:szCs w:val="22"/>
                <w:highlight w:val="none"/>
              </w:rPr>
              <w:t>在采取以上措施后，可以使施工场地施工扬尘量减少70%左右，大幅削减施工扬尘量，措施可行。</w:t>
            </w:r>
          </w:p>
          <w:p>
            <w:pPr>
              <w:adjustRightInd w:val="0"/>
              <w:snapToGrid w:val="0"/>
              <w:spacing w:line="360" w:lineRule="auto"/>
              <w:ind w:firstLine="480" w:firstLineChars="200"/>
              <w:rPr>
                <w:color w:val="auto"/>
                <w:sz w:val="24"/>
                <w:szCs w:val="22"/>
                <w:highlight w:val="none"/>
              </w:rPr>
            </w:pPr>
            <w:r>
              <w:rPr>
                <w:color w:val="auto"/>
                <w:sz w:val="24"/>
                <w:szCs w:val="22"/>
                <w:highlight w:val="none"/>
              </w:rPr>
              <w:t>综上所述，施工期的主要污染是TSP，施工单位必须严格按国家、自治区《大气污染防治行动计划》及《自治区人民政府关于印发“蓝天碧水·绿色城乡”专项行动方案》（宁政发〔2016〕71号）进行施工，尽量减少扬尘对环境的影响程度，实现6个100%要求。</w:t>
            </w:r>
            <w:r>
              <w:rPr>
                <w:rFonts w:hint="eastAsia"/>
                <w:color w:val="auto"/>
                <w:sz w:val="24"/>
                <w:szCs w:val="22"/>
                <w:highlight w:val="none"/>
                <w:lang w:eastAsia="zh-CN"/>
              </w:rPr>
              <w:t>本工程</w:t>
            </w:r>
            <w:r>
              <w:rPr>
                <w:color w:val="auto"/>
                <w:sz w:val="24"/>
                <w:szCs w:val="22"/>
                <w:highlight w:val="none"/>
              </w:rPr>
              <w:t>施工期施工扬尘及施工机械尾气会对周边环境造成一定影响，这种影响是暂时的，随着施工期的结束而消失，在采取以上扬尘及尾气防治措施后，可将施工期大气影响降至最低。</w:t>
            </w:r>
          </w:p>
          <w:p>
            <w:pPr>
              <w:adjustRightInd w:val="0"/>
              <w:snapToGrid w:val="0"/>
              <w:spacing w:line="360" w:lineRule="auto"/>
              <w:ind w:firstLine="480" w:firstLineChars="200"/>
              <w:rPr>
                <w:color w:val="auto"/>
                <w:sz w:val="24"/>
                <w:szCs w:val="22"/>
              </w:rPr>
            </w:pPr>
            <w:r>
              <w:rPr>
                <w:rFonts w:hint="eastAsia"/>
                <w:color w:val="auto"/>
                <w:sz w:val="24"/>
                <w:szCs w:val="22"/>
              </w:rPr>
              <w:t>（2）</w:t>
            </w:r>
            <w:r>
              <w:rPr>
                <w:color w:val="auto"/>
                <w:sz w:val="24"/>
                <w:szCs w:val="22"/>
              </w:rPr>
              <w:t>施工机械尾气</w:t>
            </w:r>
          </w:p>
          <w:p>
            <w:pPr>
              <w:adjustRightInd w:val="0"/>
              <w:snapToGrid w:val="0"/>
              <w:spacing w:line="360" w:lineRule="auto"/>
              <w:ind w:firstLine="480" w:firstLineChars="200"/>
              <w:rPr>
                <w:color w:val="auto"/>
                <w:sz w:val="24"/>
                <w:szCs w:val="22"/>
              </w:rPr>
            </w:pPr>
            <w:r>
              <w:rPr>
                <w:color w:val="auto"/>
                <w:sz w:val="24"/>
                <w:szCs w:val="22"/>
              </w:rPr>
              <w:t>主要来自施工机械和运输土方等原材料的汽车，其主要成分为CO、NOx以及未完全燃烧的HC等，其特点是排放量小，属间断性无组织排放。由于拟建项目所在地较为开阔，空气流通较好，汽车排放的废气能够较快地扩散，不会对当地的环境空气产生较大影响，但项目建设过程中仍应采取控制措施，加强施工机械的维护，使环境空气质量受到的影响降至最低。</w:t>
            </w:r>
          </w:p>
          <w:p>
            <w:pPr>
              <w:adjustRightInd w:val="0"/>
              <w:snapToGrid w:val="0"/>
              <w:spacing w:line="360" w:lineRule="auto"/>
              <w:ind w:firstLine="482" w:firstLineChars="200"/>
              <w:rPr>
                <w:b/>
                <w:bCs/>
                <w:color w:val="auto"/>
                <w:sz w:val="24"/>
                <w:szCs w:val="22"/>
              </w:rPr>
            </w:pPr>
            <w:r>
              <w:rPr>
                <w:rFonts w:hint="eastAsia"/>
                <w:b/>
                <w:bCs/>
                <w:color w:val="auto"/>
                <w:sz w:val="24"/>
                <w:szCs w:val="22"/>
              </w:rPr>
              <w:t>2、废水防治措施</w:t>
            </w:r>
          </w:p>
          <w:p>
            <w:pPr>
              <w:adjustRightInd w:val="0"/>
              <w:snapToGrid w:val="0"/>
              <w:spacing w:line="360" w:lineRule="auto"/>
              <w:ind w:firstLine="480" w:firstLineChars="200"/>
              <w:rPr>
                <w:color w:val="auto"/>
                <w:sz w:val="24"/>
                <w:szCs w:val="22"/>
                <w:highlight w:val="none"/>
              </w:rPr>
            </w:pPr>
            <w:r>
              <w:rPr>
                <w:rFonts w:hint="eastAsia"/>
                <w:color w:val="auto"/>
                <w:sz w:val="24"/>
                <w:szCs w:val="22"/>
                <w:highlight w:val="none"/>
              </w:rPr>
              <w:t>施工期产生的水污染主要来自于施工人员生活污水、砂石料加工冲洗水、机混凝土养护废水以及基坑水等</w:t>
            </w:r>
            <w:r>
              <w:rPr>
                <w:rFonts w:hint="eastAsia"/>
                <w:color w:val="auto"/>
                <w:sz w:val="24"/>
                <w:szCs w:val="22"/>
                <w:highlight w:val="none"/>
                <w:lang w:eastAsia="zh-CN"/>
              </w:rPr>
              <w:t>，</w:t>
            </w:r>
            <w:r>
              <w:rPr>
                <w:color w:val="auto"/>
                <w:sz w:val="24"/>
                <w:szCs w:val="22"/>
                <w:highlight w:val="none"/>
              </w:rPr>
              <w:t>主要污染物是悬浮物等。施工场地修建临时沉淀池，含SS的生产废水废水排入沉淀池进行沉淀澄清处理后回用</w:t>
            </w:r>
            <w:r>
              <w:rPr>
                <w:rFonts w:hint="eastAsia"/>
                <w:color w:val="auto"/>
                <w:sz w:val="24"/>
                <w:szCs w:val="22"/>
                <w:highlight w:val="none"/>
                <w:lang w:eastAsia="zh-CN"/>
              </w:rPr>
              <w:t>于</w:t>
            </w:r>
            <w:r>
              <w:rPr>
                <w:color w:val="auto"/>
                <w:sz w:val="24"/>
                <w:szCs w:val="22"/>
                <w:highlight w:val="none"/>
              </w:rPr>
              <w:t>冲洗路面，防止路面扬尘等，不得排入附近水体。</w:t>
            </w:r>
          </w:p>
          <w:p>
            <w:pPr>
              <w:adjustRightInd w:val="0"/>
              <w:snapToGrid w:val="0"/>
              <w:spacing w:line="360" w:lineRule="auto"/>
              <w:ind w:firstLine="480" w:firstLineChars="200"/>
              <w:rPr>
                <w:color w:val="auto"/>
                <w:sz w:val="24"/>
                <w:szCs w:val="22"/>
                <w:highlight w:val="none"/>
              </w:rPr>
            </w:pPr>
            <w:r>
              <w:rPr>
                <w:rFonts w:hint="eastAsia"/>
                <w:color w:val="auto"/>
                <w:sz w:val="24"/>
                <w:szCs w:val="22"/>
                <w:highlight w:val="none"/>
                <w:lang w:eastAsia="zh-CN"/>
              </w:rPr>
              <w:t>本工程</w:t>
            </w:r>
            <w:r>
              <w:rPr>
                <w:color w:val="auto"/>
                <w:sz w:val="24"/>
                <w:szCs w:val="22"/>
                <w:highlight w:val="none"/>
              </w:rPr>
              <w:t>施工期较短，通过采取以上措施后，施工期废水不会对所在区域水环境造成影响。</w:t>
            </w:r>
          </w:p>
          <w:p>
            <w:pPr>
              <w:adjustRightInd w:val="0"/>
              <w:snapToGrid w:val="0"/>
              <w:spacing w:line="360" w:lineRule="auto"/>
              <w:ind w:firstLine="482" w:firstLineChars="200"/>
              <w:rPr>
                <w:b/>
                <w:bCs/>
                <w:color w:val="auto"/>
                <w:sz w:val="24"/>
                <w:szCs w:val="22"/>
              </w:rPr>
            </w:pPr>
            <w:r>
              <w:rPr>
                <w:rFonts w:hint="eastAsia"/>
                <w:b/>
                <w:bCs/>
                <w:color w:val="auto"/>
                <w:sz w:val="24"/>
                <w:szCs w:val="22"/>
              </w:rPr>
              <w:t>3、</w:t>
            </w:r>
            <w:r>
              <w:rPr>
                <w:b/>
                <w:bCs/>
                <w:color w:val="auto"/>
                <w:sz w:val="24"/>
                <w:szCs w:val="22"/>
              </w:rPr>
              <w:t>噪声防治措施</w:t>
            </w:r>
          </w:p>
          <w:p>
            <w:pPr>
              <w:adjustRightInd w:val="0"/>
              <w:snapToGrid w:val="0"/>
              <w:spacing w:line="360" w:lineRule="auto"/>
              <w:ind w:firstLine="480" w:firstLineChars="200"/>
              <w:rPr>
                <w:color w:val="auto"/>
                <w:sz w:val="24"/>
                <w:szCs w:val="22"/>
              </w:rPr>
            </w:pPr>
            <w:r>
              <w:rPr>
                <w:rFonts w:hint="eastAsia"/>
                <w:color w:val="auto"/>
                <w:sz w:val="24"/>
                <w:szCs w:val="22"/>
              </w:rPr>
              <w:t>（1）</w:t>
            </w:r>
            <w:r>
              <w:rPr>
                <w:color w:val="auto"/>
                <w:sz w:val="24"/>
                <w:szCs w:val="22"/>
              </w:rPr>
              <w:t>噪声源</w:t>
            </w:r>
          </w:p>
          <w:p>
            <w:pPr>
              <w:adjustRightInd w:val="0"/>
              <w:snapToGrid w:val="0"/>
              <w:spacing w:line="360" w:lineRule="auto"/>
              <w:ind w:firstLine="480" w:firstLineChars="200"/>
              <w:rPr>
                <w:color w:val="auto"/>
                <w:sz w:val="24"/>
                <w:szCs w:val="22"/>
              </w:rPr>
            </w:pPr>
            <w:r>
              <w:rPr>
                <w:color w:val="auto"/>
                <w:sz w:val="24"/>
                <w:szCs w:val="22"/>
              </w:rPr>
              <w:t>项目施工期噪声来自于施工机械和运输车辆，具有高噪声、无规律的特点，它对外环境的影响是暂时的，随施工期结束而消失。据调查，国内目前道路施工采用的机械设备主要有装卸机、压路机、推土机等，本项目所采用的各设备的声压级见下表。</w:t>
            </w:r>
          </w:p>
          <w:p>
            <w:pPr>
              <w:adjustRightInd w:val="0"/>
              <w:snapToGrid w:val="0"/>
              <w:ind w:firstLine="1205" w:firstLineChars="500"/>
              <w:rPr>
                <w:b/>
                <w:bCs/>
                <w:color w:val="auto"/>
                <w:sz w:val="24"/>
              </w:rPr>
            </w:pPr>
            <w:r>
              <w:rPr>
                <w:b/>
                <w:bCs/>
                <w:color w:val="auto"/>
                <w:sz w:val="24"/>
              </w:rPr>
              <w:t>表</w:t>
            </w:r>
            <w:r>
              <w:rPr>
                <w:rFonts w:hint="eastAsia"/>
                <w:b/>
                <w:bCs/>
                <w:color w:val="auto"/>
                <w:sz w:val="24"/>
              </w:rPr>
              <w:t xml:space="preserve">5-1          </w:t>
            </w:r>
            <w:r>
              <w:rPr>
                <w:b/>
                <w:bCs/>
                <w:color w:val="auto"/>
                <w:sz w:val="24"/>
              </w:rPr>
              <w:t>施工机械设备噪声源强</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759"/>
              <w:gridCol w:w="1356"/>
              <w:gridCol w:w="2617"/>
              <w:gridCol w:w="1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序号</w:t>
                  </w:r>
                </w:p>
              </w:tc>
              <w:tc>
                <w:tcPr>
                  <w:tcW w:w="1063" w:type="pct"/>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设备类型</w:t>
                  </w:r>
                </w:p>
              </w:tc>
              <w:tc>
                <w:tcPr>
                  <w:tcW w:w="819" w:type="pct"/>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规格型号</w:t>
                  </w:r>
                </w:p>
              </w:tc>
              <w:tc>
                <w:tcPr>
                  <w:tcW w:w="1581" w:type="pct"/>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测点与施工机械距离（m）</w:t>
                  </w:r>
                </w:p>
              </w:tc>
              <w:tc>
                <w:tcPr>
                  <w:tcW w:w="1112" w:type="pct"/>
                  <w:vAlign w:val="center"/>
                </w:tcPr>
                <w:p>
                  <w:pPr>
                    <w:pStyle w:val="24"/>
                    <w:adjustRightInd w:val="0"/>
                    <w:snapToGrid w:val="0"/>
                    <w:spacing w:line="240" w:lineRule="auto"/>
                    <w:ind w:firstLine="0" w:firstLineChars="0"/>
                    <w:jc w:val="center"/>
                    <w:rPr>
                      <w:b/>
                      <w:bCs/>
                      <w:color w:val="auto"/>
                      <w:sz w:val="21"/>
                      <w:szCs w:val="21"/>
                    </w:rPr>
                  </w:pPr>
                  <w:r>
                    <w:rPr>
                      <w:b/>
                      <w:bCs/>
                      <w:color w:val="auto"/>
                      <w:sz w:val="21"/>
                      <w:szCs w:val="21"/>
                    </w:rPr>
                    <w:t>最大声（dB(A)）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1</w:t>
                  </w:r>
                </w:p>
              </w:tc>
              <w:tc>
                <w:tcPr>
                  <w:tcW w:w="106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轮式装卸机</w:t>
                  </w:r>
                </w:p>
              </w:tc>
              <w:tc>
                <w:tcPr>
                  <w:tcW w:w="819"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ZL40型</w:t>
                  </w:r>
                </w:p>
              </w:tc>
              <w:tc>
                <w:tcPr>
                  <w:tcW w:w="1581"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5</w:t>
                  </w:r>
                </w:p>
              </w:tc>
              <w:tc>
                <w:tcPr>
                  <w:tcW w:w="1112"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2</w:t>
                  </w:r>
                </w:p>
              </w:tc>
              <w:tc>
                <w:tcPr>
                  <w:tcW w:w="106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平地机</w:t>
                  </w:r>
                </w:p>
              </w:tc>
              <w:tc>
                <w:tcPr>
                  <w:tcW w:w="819"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PY160A型</w:t>
                  </w:r>
                </w:p>
              </w:tc>
              <w:tc>
                <w:tcPr>
                  <w:tcW w:w="1581" w:type="pct"/>
                  <w:vAlign w:val="center"/>
                </w:tcPr>
                <w:p>
                  <w:pPr>
                    <w:adjustRightInd w:val="0"/>
                    <w:snapToGrid w:val="0"/>
                    <w:jc w:val="center"/>
                    <w:rPr>
                      <w:color w:val="auto"/>
                      <w:szCs w:val="21"/>
                    </w:rPr>
                  </w:pPr>
                  <w:r>
                    <w:rPr>
                      <w:color w:val="auto"/>
                      <w:szCs w:val="21"/>
                    </w:rPr>
                    <w:t>5</w:t>
                  </w:r>
                </w:p>
              </w:tc>
              <w:tc>
                <w:tcPr>
                  <w:tcW w:w="1112"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3</w:t>
                  </w:r>
                </w:p>
              </w:tc>
              <w:tc>
                <w:tcPr>
                  <w:tcW w:w="106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双轮双振压路机</w:t>
                  </w:r>
                </w:p>
              </w:tc>
              <w:tc>
                <w:tcPr>
                  <w:tcW w:w="819"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CC2型</w:t>
                  </w:r>
                </w:p>
              </w:tc>
              <w:tc>
                <w:tcPr>
                  <w:tcW w:w="1581" w:type="pct"/>
                  <w:vAlign w:val="center"/>
                </w:tcPr>
                <w:p>
                  <w:pPr>
                    <w:adjustRightInd w:val="0"/>
                    <w:snapToGrid w:val="0"/>
                    <w:jc w:val="center"/>
                    <w:rPr>
                      <w:color w:val="auto"/>
                      <w:szCs w:val="21"/>
                    </w:rPr>
                  </w:pPr>
                  <w:r>
                    <w:rPr>
                      <w:color w:val="auto"/>
                      <w:szCs w:val="21"/>
                    </w:rPr>
                    <w:t>5</w:t>
                  </w:r>
                </w:p>
              </w:tc>
              <w:tc>
                <w:tcPr>
                  <w:tcW w:w="1112"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4</w:t>
                  </w:r>
                </w:p>
              </w:tc>
              <w:tc>
                <w:tcPr>
                  <w:tcW w:w="106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推土机</w:t>
                  </w:r>
                </w:p>
              </w:tc>
              <w:tc>
                <w:tcPr>
                  <w:tcW w:w="819"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T140型</w:t>
                  </w:r>
                </w:p>
              </w:tc>
              <w:tc>
                <w:tcPr>
                  <w:tcW w:w="1581" w:type="pct"/>
                  <w:vAlign w:val="center"/>
                </w:tcPr>
                <w:p>
                  <w:pPr>
                    <w:adjustRightInd w:val="0"/>
                    <w:snapToGrid w:val="0"/>
                    <w:jc w:val="center"/>
                    <w:rPr>
                      <w:color w:val="auto"/>
                      <w:szCs w:val="21"/>
                    </w:rPr>
                  </w:pPr>
                  <w:r>
                    <w:rPr>
                      <w:color w:val="auto"/>
                      <w:szCs w:val="21"/>
                    </w:rPr>
                    <w:t>5</w:t>
                  </w:r>
                </w:p>
              </w:tc>
              <w:tc>
                <w:tcPr>
                  <w:tcW w:w="1112"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5</w:t>
                  </w:r>
                </w:p>
              </w:tc>
              <w:tc>
                <w:tcPr>
                  <w:tcW w:w="106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履带式挖掘机</w:t>
                  </w:r>
                </w:p>
              </w:tc>
              <w:tc>
                <w:tcPr>
                  <w:tcW w:w="819"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W4-60C型</w:t>
                  </w:r>
                </w:p>
              </w:tc>
              <w:tc>
                <w:tcPr>
                  <w:tcW w:w="1581" w:type="pct"/>
                  <w:vAlign w:val="center"/>
                </w:tcPr>
                <w:p>
                  <w:pPr>
                    <w:adjustRightInd w:val="0"/>
                    <w:snapToGrid w:val="0"/>
                    <w:jc w:val="center"/>
                    <w:rPr>
                      <w:color w:val="auto"/>
                      <w:szCs w:val="21"/>
                    </w:rPr>
                  </w:pPr>
                  <w:r>
                    <w:rPr>
                      <w:color w:val="auto"/>
                      <w:szCs w:val="21"/>
                    </w:rPr>
                    <w:t>5</w:t>
                  </w:r>
                </w:p>
              </w:tc>
              <w:tc>
                <w:tcPr>
                  <w:tcW w:w="1112"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6</w:t>
                  </w:r>
                </w:p>
              </w:tc>
              <w:tc>
                <w:tcPr>
                  <w:tcW w:w="106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摊铺机</w:t>
                  </w:r>
                </w:p>
              </w:tc>
              <w:tc>
                <w:tcPr>
                  <w:tcW w:w="819"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w:t>
                  </w:r>
                </w:p>
              </w:tc>
              <w:tc>
                <w:tcPr>
                  <w:tcW w:w="1581" w:type="pct"/>
                  <w:vAlign w:val="center"/>
                </w:tcPr>
                <w:p>
                  <w:pPr>
                    <w:adjustRightInd w:val="0"/>
                    <w:snapToGrid w:val="0"/>
                    <w:jc w:val="center"/>
                    <w:rPr>
                      <w:color w:val="auto"/>
                      <w:szCs w:val="21"/>
                    </w:rPr>
                  </w:pPr>
                  <w:r>
                    <w:rPr>
                      <w:color w:val="auto"/>
                      <w:szCs w:val="21"/>
                    </w:rPr>
                    <w:t>5</w:t>
                  </w:r>
                </w:p>
              </w:tc>
              <w:tc>
                <w:tcPr>
                  <w:tcW w:w="1112"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7</w:t>
                  </w:r>
                </w:p>
              </w:tc>
              <w:tc>
                <w:tcPr>
                  <w:tcW w:w="106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机动翻斗车</w:t>
                  </w:r>
                </w:p>
              </w:tc>
              <w:tc>
                <w:tcPr>
                  <w:tcW w:w="819"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w:t>
                  </w:r>
                </w:p>
              </w:tc>
              <w:tc>
                <w:tcPr>
                  <w:tcW w:w="1581" w:type="pct"/>
                  <w:vAlign w:val="center"/>
                </w:tcPr>
                <w:p>
                  <w:pPr>
                    <w:adjustRightInd w:val="0"/>
                    <w:snapToGrid w:val="0"/>
                    <w:jc w:val="center"/>
                    <w:rPr>
                      <w:color w:val="auto"/>
                      <w:szCs w:val="21"/>
                    </w:rPr>
                  </w:pPr>
                  <w:r>
                    <w:rPr>
                      <w:color w:val="auto"/>
                      <w:szCs w:val="21"/>
                    </w:rPr>
                    <w:t>5</w:t>
                  </w:r>
                </w:p>
              </w:tc>
              <w:tc>
                <w:tcPr>
                  <w:tcW w:w="1112"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w:t>
                  </w:r>
                </w:p>
              </w:tc>
              <w:tc>
                <w:tcPr>
                  <w:tcW w:w="1063"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管道牵引机</w:t>
                  </w:r>
                </w:p>
              </w:tc>
              <w:tc>
                <w:tcPr>
                  <w:tcW w:w="819"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w:t>
                  </w:r>
                </w:p>
              </w:tc>
              <w:tc>
                <w:tcPr>
                  <w:tcW w:w="1581" w:type="pct"/>
                  <w:vAlign w:val="center"/>
                </w:tcPr>
                <w:p>
                  <w:pPr>
                    <w:adjustRightInd w:val="0"/>
                    <w:snapToGrid w:val="0"/>
                    <w:jc w:val="center"/>
                    <w:rPr>
                      <w:color w:val="auto"/>
                      <w:szCs w:val="21"/>
                    </w:rPr>
                  </w:pPr>
                  <w:r>
                    <w:rPr>
                      <w:color w:val="auto"/>
                      <w:szCs w:val="21"/>
                    </w:rPr>
                    <w:t>5</w:t>
                  </w:r>
                </w:p>
              </w:tc>
              <w:tc>
                <w:tcPr>
                  <w:tcW w:w="1112" w:type="pct"/>
                  <w:vAlign w:val="center"/>
                </w:tcPr>
                <w:p>
                  <w:pPr>
                    <w:pStyle w:val="24"/>
                    <w:adjustRightInd w:val="0"/>
                    <w:snapToGrid w:val="0"/>
                    <w:spacing w:line="240" w:lineRule="auto"/>
                    <w:ind w:firstLine="0" w:firstLineChars="0"/>
                    <w:jc w:val="center"/>
                    <w:rPr>
                      <w:color w:val="auto"/>
                      <w:sz w:val="21"/>
                      <w:szCs w:val="21"/>
                    </w:rPr>
                  </w:pPr>
                  <w:r>
                    <w:rPr>
                      <w:color w:val="auto"/>
                      <w:sz w:val="21"/>
                      <w:szCs w:val="21"/>
                    </w:rPr>
                    <w:t>85</w:t>
                  </w:r>
                </w:p>
              </w:tc>
            </w:tr>
          </w:tbl>
          <w:p>
            <w:pPr>
              <w:adjustRightInd w:val="0"/>
              <w:snapToGrid w:val="0"/>
              <w:spacing w:line="360" w:lineRule="auto"/>
              <w:ind w:firstLine="480" w:firstLineChars="200"/>
              <w:rPr>
                <w:color w:val="auto"/>
                <w:sz w:val="24"/>
                <w:szCs w:val="22"/>
              </w:rPr>
            </w:pPr>
            <w:r>
              <w:rPr>
                <w:rFonts w:hint="eastAsia"/>
                <w:color w:val="auto"/>
                <w:sz w:val="24"/>
                <w:szCs w:val="22"/>
              </w:rPr>
              <w:t>（2）</w:t>
            </w:r>
            <w:r>
              <w:rPr>
                <w:color w:val="auto"/>
                <w:sz w:val="24"/>
                <w:szCs w:val="22"/>
              </w:rPr>
              <w:t>施工期噪声影响预测模式</w:t>
            </w:r>
          </w:p>
          <w:p>
            <w:pPr>
              <w:adjustRightInd w:val="0"/>
              <w:snapToGrid w:val="0"/>
              <w:spacing w:line="360" w:lineRule="auto"/>
              <w:ind w:firstLine="480" w:firstLineChars="200"/>
              <w:rPr>
                <w:color w:val="auto"/>
                <w:sz w:val="24"/>
                <w:szCs w:val="22"/>
              </w:rPr>
            </w:pPr>
            <w:r>
              <w:rPr>
                <w:color w:val="auto"/>
                <w:sz w:val="24"/>
                <w:szCs w:val="22"/>
              </w:rPr>
              <w:t>施工机械声源当作点声源，不考虑空气吸收，其噪声影响预测模式为：</w:t>
            </w:r>
          </w:p>
          <w:p>
            <w:pPr>
              <w:adjustRightInd w:val="0"/>
              <w:snapToGrid w:val="0"/>
              <w:spacing w:line="360" w:lineRule="auto"/>
              <w:jc w:val="center"/>
              <w:rPr>
                <w:rFonts w:eastAsia="仿宋"/>
                <w:color w:val="auto"/>
                <w:sz w:val="28"/>
                <w:szCs w:val="28"/>
              </w:rPr>
            </w:pPr>
            <w:r>
              <w:rPr>
                <w:rFonts w:eastAsia="仿宋"/>
                <w:color w:val="auto"/>
                <w:sz w:val="28"/>
                <w:szCs w:val="28"/>
              </w:rPr>
              <w:object>
                <v:shape id="_x0000_i1049" o:spt="75" type="#_x0000_t75" style="height:43.5pt;width:125.25pt;" o:ole="t" filled="f" o:preferrelative="t" stroked="f" coordsize="21600,21600">
                  <v:path/>
                  <v:fill on="f" focussize="0,0"/>
                  <v:stroke on="f" joinstyle="miter"/>
                  <v:imagedata r:id="rId75" o:title=""/>
                  <o:lock v:ext="edit" aspectratio="t"/>
                  <w10:wrap type="none"/>
                  <w10:anchorlock/>
                </v:shape>
                <o:OLEObject Type="Embed" ProgID="Equation.KSEE3" ShapeID="_x0000_i1049" DrawAspect="Content" ObjectID="_1468075749" r:id="rId74">
                  <o:LockedField>false</o:LockedField>
                </o:OLEObject>
              </w:object>
            </w:r>
          </w:p>
          <w:p>
            <w:pPr>
              <w:adjustRightInd w:val="0"/>
              <w:snapToGrid w:val="0"/>
              <w:spacing w:line="360" w:lineRule="auto"/>
              <w:ind w:firstLine="480" w:firstLineChars="200"/>
              <w:rPr>
                <w:color w:val="auto"/>
                <w:sz w:val="24"/>
                <w:szCs w:val="22"/>
              </w:rPr>
            </w:pPr>
            <w:r>
              <w:rPr>
                <w:color w:val="auto"/>
                <w:sz w:val="24"/>
                <w:szCs w:val="22"/>
              </w:rPr>
              <w:t>式中：Lr0-距离声源r0处测定的施工机械噪声级，dB；</w:t>
            </w:r>
          </w:p>
          <w:p>
            <w:pPr>
              <w:adjustRightInd w:val="0"/>
              <w:snapToGrid w:val="0"/>
              <w:spacing w:line="360" w:lineRule="auto"/>
              <w:ind w:firstLine="480" w:firstLineChars="200"/>
              <w:rPr>
                <w:color w:val="auto"/>
                <w:sz w:val="24"/>
                <w:szCs w:val="22"/>
              </w:rPr>
            </w:pPr>
            <w:r>
              <w:rPr>
                <w:color w:val="auto"/>
                <w:sz w:val="24"/>
                <w:szCs w:val="22"/>
              </w:rPr>
              <w:t>r-预测点与施工机械之间的距离，m。</w:t>
            </w:r>
          </w:p>
          <w:p>
            <w:pPr>
              <w:adjustRightInd w:val="0"/>
              <w:snapToGrid w:val="0"/>
              <w:spacing w:line="360" w:lineRule="auto"/>
              <w:ind w:firstLine="480" w:firstLineChars="200"/>
              <w:rPr>
                <w:color w:val="auto"/>
                <w:sz w:val="24"/>
                <w:szCs w:val="22"/>
              </w:rPr>
            </w:pPr>
            <w:r>
              <w:rPr>
                <w:color w:val="auto"/>
                <w:sz w:val="24"/>
                <w:szCs w:val="22"/>
              </w:rPr>
              <w:t>利用上式，分别计算出设施设备噪声对环境的影响范围，见表</w:t>
            </w:r>
            <w:r>
              <w:rPr>
                <w:rFonts w:hint="eastAsia"/>
                <w:color w:val="auto"/>
                <w:sz w:val="24"/>
                <w:szCs w:val="22"/>
              </w:rPr>
              <w:t>5-2</w:t>
            </w:r>
            <w:r>
              <w:rPr>
                <w:color w:val="auto"/>
                <w:sz w:val="24"/>
                <w:szCs w:val="22"/>
              </w:rPr>
              <w:t>。</w:t>
            </w:r>
          </w:p>
          <w:p>
            <w:pPr>
              <w:adjustRightInd w:val="0"/>
              <w:snapToGrid w:val="0"/>
              <w:ind w:firstLine="482" w:firstLineChars="200"/>
              <w:rPr>
                <w:color w:val="auto"/>
                <w:sz w:val="24"/>
              </w:rPr>
            </w:pPr>
            <w:r>
              <w:rPr>
                <w:b/>
                <w:bCs/>
                <w:color w:val="auto"/>
                <w:sz w:val="24"/>
              </w:rPr>
              <w:t>表</w:t>
            </w:r>
            <w:r>
              <w:rPr>
                <w:rFonts w:hint="eastAsia"/>
                <w:b/>
                <w:bCs/>
                <w:color w:val="auto"/>
                <w:sz w:val="24"/>
              </w:rPr>
              <w:t xml:space="preserve">5-2    </w:t>
            </w:r>
            <w:r>
              <w:rPr>
                <w:rFonts w:hint="eastAsia"/>
                <w:color w:val="auto"/>
                <w:sz w:val="24"/>
              </w:rPr>
              <w:t xml:space="preserve">                 </w:t>
            </w:r>
            <w:r>
              <w:rPr>
                <w:b/>
                <w:bCs/>
                <w:color w:val="auto"/>
                <w:sz w:val="24"/>
              </w:rPr>
              <w:t>施工期设备噪声影响范围</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669"/>
              <w:gridCol w:w="596"/>
              <w:gridCol w:w="625"/>
              <w:gridCol w:w="584"/>
              <w:gridCol w:w="584"/>
              <w:gridCol w:w="584"/>
              <w:gridCol w:w="629"/>
              <w:gridCol w:w="1396"/>
              <w:gridCol w:w="11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Merge w:val="restart"/>
                  <w:vAlign w:val="center"/>
                </w:tcPr>
                <w:p>
                  <w:pPr>
                    <w:pStyle w:val="38"/>
                    <w:snapToGrid w:val="0"/>
                    <w:jc w:val="both"/>
                    <w:rPr>
                      <w:b/>
                      <w:color w:val="auto"/>
                      <w:sz w:val="21"/>
                      <w:szCs w:val="21"/>
                    </w:rPr>
                  </w:pPr>
                  <w:r>
                    <w:rPr>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-3810</wp:posOffset>
                            </wp:positionV>
                            <wp:extent cx="894080" cy="568960"/>
                            <wp:effectExtent l="0" t="0" r="20320" b="21590"/>
                            <wp:wrapNone/>
                            <wp:docPr id="28" name="直接连接符 28"/>
                            <wp:cNvGraphicFramePr/>
                            <a:graphic xmlns:a="http://schemas.openxmlformats.org/drawingml/2006/main">
                              <a:graphicData uri="http://schemas.microsoft.com/office/word/2010/wordprocessingShape">
                                <wps:wsp>
                                  <wps:cNvCnPr/>
                                  <wps:spPr>
                                    <a:xfrm>
                                      <a:off x="0" y="0"/>
                                      <a:ext cx="894080" cy="5689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05pt;margin-top:-0.3pt;height:44.8pt;width:70.4pt;z-index:251661312;mso-width-relative:page;mso-height-relative:page;" filled="f" stroked="t" coordsize="21600,21600" o:gfxdata="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rflGX1gAAAAcBAAAPAAAAAAAAAAEA&#10;IAAAACIAAABkcnMvZG93bnJldi54bWxQSwECFAAUAAAACACHTuJAza/nN9gBAACQAwAADgAAAAAA&#10;AAABACAAAAAlAQAAZHJzL2Uyb0RvYy54bWxQSwUGAAAAAAYABgBZAQAAbwUAAAAA&#10;">
                            <v:fill on="f" focussize="0,0"/>
                            <v:stroke color="#000000" joinstyle="round"/>
                            <v:imagedata o:title=""/>
                            <o:lock v:ext="edit" aspectratio="f"/>
                          </v:line>
                        </w:pict>
                      </mc:Fallback>
                    </mc:AlternateContent>
                  </w:r>
                  <w:r>
                    <w:rPr>
                      <w:rFonts w:hint="eastAsia"/>
                      <w:b/>
                      <w:color w:val="auto"/>
                      <w:sz w:val="21"/>
                      <w:szCs w:val="21"/>
                    </w:rPr>
                    <w:t xml:space="preserve">     </w:t>
                  </w:r>
                  <w:r>
                    <w:rPr>
                      <w:b/>
                      <w:color w:val="auto"/>
                      <w:sz w:val="21"/>
                      <w:szCs w:val="21"/>
                    </w:rPr>
                    <w:t>声级</w:t>
                  </w:r>
                </w:p>
                <w:p>
                  <w:pPr>
                    <w:pStyle w:val="38"/>
                    <w:snapToGrid w:val="0"/>
                    <w:jc w:val="both"/>
                    <w:rPr>
                      <w:b/>
                      <w:color w:val="auto"/>
                      <w:sz w:val="21"/>
                      <w:szCs w:val="21"/>
                    </w:rPr>
                  </w:pPr>
                </w:p>
                <w:p>
                  <w:pPr>
                    <w:pStyle w:val="38"/>
                    <w:snapToGrid w:val="0"/>
                    <w:jc w:val="both"/>
                    <w:rPr>
                      <w:b/>
                      <w:color w:val="auto"/>
                      <w:sz w:val="21"/>
                      <w:szCs w:val="21"/>
                    </w:rPr>
                  </w:pPr>
                  <w:r>
                    <w:rPr>
                      <w:b/>
                      <w:color w:val="auto"/>
                      <w:sz w:val="21"/>
                      <w:szCs w:val="21"/>
                    </w:rPr>
                    <w:t>施工机械</w:t>
                  </w:r>
                </w:p>
              </w:tc>
              <w:tc>
                <w:tcPr>
                  <w:tcW w:w="2572" w:type="pct"/>
                  <w:gridSpan w:val="7"/>
                  <w:vAlign w:val="center"/>
                </w:tcPr>
                <w:p>
                  <w:pPr>
                    <w:pStyle w:val="38"/>
                    <w:snapToGrid w:val="0"/>
                    <w:rPr>
                      <w:b/>
                      <w:color w:val="auto"/>
                      <w:sz w:val="21"/>
                      <w:szCs w:val="21"/>
                    </w:rPr>
                  </w:pPr>
                  <w:r>
                    <w:rPr>
                      <w:b/>
                      <w:color w:val="auto"/>
                      <w:sz w:val="21"/>
                      <w:szCs w:val="21"/>
                    </w:rPr>
                    <w:t>距施工噪声源距离/m</w:t>
                  </w:r>
                </w:p>
              </w:tc>
              <w:tc>
                <w:tcPr>
                  <w:tcW w:w="846" w:type="pct"/>
                  <w:vAlign w:val="center"/>
                </w:tcPr>
                <w:p>
                  <w:pPr>
                    <w:pStyle w:val="38"/>
                    <w:snapToGrid w:val="0"/>
                    <w:jc w:val="both"/>
                    <w:rPr>
                      <w:b/>
                      <w:color w:val="auto"/>
                      <w:sz w:val="21"/>
                      <w:szCs w:val="21"/>
                    </w:rPr>
                  </w:pPr>
                  <w:r>
                    <w:rPr>
                      <w:b/>
                      <w:color w:val="auto"/>
                      <w:sz w:val="21"/>
                      <w:szCs w:val="21"/>
                    </w:rPr>
                    <w:t>标准值dB(A)</w:t>
                  </w:r>
                </w:p>
              </w:tc>
              <w:tc>
                <w:tcPr>
                  <w:tcW w:w="724" w:type="pct"/>
                  <w:vAlign w:val="center"/>
                </w:tcPr>
                <w:p>
                  <w:pPr>
                    <w:pStyle w:val="38"/>
                    <w:snapToGrid w:val="0"/>
                    <w:rPr>
                      <w:b/>
                      <w:color w:val="auto"/>
                      <w:sz w:val="21"/>
                      <w:szCs w:val="21"/>
                    </w:rPr>
                  </w:pPr>
                  <w:r>
                    <w:rPr>
                      <w:b/>
                      <w:color w:val="auto"/>
                      <w:sz w:val="21"/>
                      <w:szCs w:val="21"/>
                    </w:rPr>
                    <w:t>达标距离（m）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Merge w:val="continue"/>
                  <w:vAlign w:val="center"/>
                </w:tcPr>
                <w:p>
                  <w:pPr>
                    <w:pStyle w:val="38"/>
                    <w:snapToGrid w:val="0"/>
                    <w:rPr>
                      <w:b/>
                      <w:color w:val="auto"/>
                      <w:sz w:val="21"/>
                      <w:szCs w:val="21"/>
                    </w:rPr>
                  </w:pPr>
                </w:p>
              </w:tc>
              <w:tc>
                <w:tcPr>
                  <w:tcW w:w="407" w:type="pct"/>
                  <w:vAlign w:val="center"/>
                </w:tcPr>
                <w:p>
                  <w:pPr>
                    <w:pStyle w:val="38"/>
                    <w:snapToGrid w:val="0"/>
                    <w:rPr>
                      <w:b/>
                      <w:color w:val="auto"/>
                      <w:sz w:val="21"/>
                      <w:szCs w:val="21"/>
                    </w:rPr>
                  </w:pPr>
                  <w:r>
                    <w:rPr>
                      <w:b/>
                      <w:color w:val="auto"/>
                      <w:sz w:val="21"/>
                      <w:szCs w:val="21"/>
                    </w:rPr>
                    <w:t>10</w:t>
                  </w:r>
                </w:p>
              </w:tc>
              <w:tc>
                <w:tcPr>
                  <w:tcW w:w="363" w:type="pct"/>
                  <w:vAlign w:val="center"/>
                </w:tcPr>
                <w:p>
                  <w:pPr>
                    <w:pStyle w:val="38"/>
                    <w:snapToGrid w:val="0"/>
                    <w:rPr>
                      <w:b/>
                      <w:color w:val="auto"/>
                      <w:sz w:val="21"/>
                      <w:szCs w:val="21"/>
                    </w:rPr>
                  </w:pPr>
                  <w:r>
                    <w:rPr>
                      <w:b/>
                      <w:color w:val="auto"/>
                      <w:sz w:val="21"/>
                      <w:szCs w:val="21"/>
                    </w:rPr>
                    <w:t>20</w:t>
                  </w:r>
                </w:p>
              </w:tc>
              <w:tc>
                <w:tcPr>
                  <w:tcW w:w="380" w:type="pct"/>
                  <w:vAlign w:val="center"/>
                </w:tcPr>
                <w:p>
                  <w:pPr>
                    <w:pStyle w:val="38"/>
                    <w:snapToGrid w:val="0"/>
                    <w:rPr>
                      <w:b/>
                      <w:color w:val="auto"/>
                      <w:sz w:val="21"/>
                      <w:szCs w:val="21"/>
                    </w:rPr>
                  </w:pPr>
                  <w:r>
                    <w:rPr>
                      <w:b/>
                      <w:color w:val="auto"/>
                      <w:sz w:val="21"/>
                      <w:szCs w:val="21"/>
                    </w:rPr>
                    <w:t>40</w:t>
                  </w:r>
                </w:p>
              </w:tc>
              <w:tc>
                <w:tcPr>
                  <w:tcW w:w="354" w:type="pct"/>
                  <w:vAlign w:val="center"/>
                </w:tcPr>
                <w:p>
                  <w:pPr>
                    <w:pStyle w:val="38"/>
                    <w:snapToGrid w:val="0"/>
                    <w:rPr>
                      <w:b/>
                      <w:color w:val="auto"/>
                      <w:sz w:val="21"/>
                      <w:szCs w:val="21"/>
                    </w:rPr>
                  </w:pPr>
                  <w:r>
                    <w:rPr>
                      <w:b/>
                      <w:color w:val="auto"/>
                      <w:sz w:val="21"/>
                      <w:szCs w:val="21"/>
                    </w:rPr>
                    <w:t>60</w:t>
                  </w:r>
                </w:p>
              </w:tc>
              <w:tc>
                <w:tcPr>
                  <w:tcW w:w="354" w:type="pct"/>
                  <w:vAlign w:val="center"/>
                </w:tcPr>
                <w:p>
                  <w:pPr>
                    <w:pStyle w:val="38"/>
                    <w:snapToGrid w:val="0"/>
                    <w:rPr>
                      <w:b/>
                      <w:color w:val="auto"/>
                      <w:sz w:val="21"/>
                      <w:szCs w:val="21"/>
                    </w:rPr>
                  </w:pPr>
                  <w:r>
                    <w:rPr>
                      <w:b/>
                      <w:color w:val="auto"/>
                      <w:sz w:val="21"/>
                      <w:szCs w:val="21"/>
                    </w:rPr>
                    <w:t>80</w:t>
                  </w:r>
                </w:p>
              </w:tc>
              <w:tc>
                <w:tcPr>
                  <w:tcW w:w="329" w:type="pct"/>
                  <w:vAlign w:val="center"/>
                </w:tcPr>
                <w:p>
                  <w:pPr>
                    <w:pStyle w:val="38"/>
                    <w:snapToGrid w:val="0"/>
                    <w:rPr>
                      <w:b/>
                      <w:color w:val="auto"/>
                      <w:sz w:val="21"/>
                      <w:szCs w:val="21"/>
                    </w:rPr>
                  </w:pPr>
                  <w:r>
                    <w:rPr>
                      <w:b/>
                      <w:color w:val="auto"/>
                      <w:sz w:val="21"/>
                      <w:szCs w:val="21"/>
                    </w:rPr>
                    <w:t>100</w:t>
                  </w:r>
                </w:p>
              </w:tc>
              <w:tc>
                <w:tcPr>
                  <w:tcW w:w="381" w:type="pct"/>
                  <w:vAlign w:val="center"/>
                </w:tcPr>
                <w:p>
                  <w:pPr>
                    <w:pStyle w:val="38"/>
                    <w:snapToGrid w:val="0"/>
                    <w:rPr>
                      <w:b/>
                      <w:color w:val="auto"/>
                      <w:sz w:val="21"/>
                      <w:szCs w:val="21"/>
                    </w:rPr>
                  </w:pPr>
                  <w:r>
                    <w:rPr>
                      <w:b/>
                      <w:color w:val="auto"/>
                      <w:sz w:val="21"/>
                      <w:szCs w:val="21"/>
                    </w:rPr>
                    <w:t>150</w:t>
                  </w:r>
                </w:p>
              </w:tc>
              <w:tc>
                <w:tcPr>
                  <w:tcW w:w="846" w:type="pct"/>
                  <w:vAlign w:val="center"/>
                </w:tcPr>
                <w:p>
                  <w:pPr>
                    <w:pStyle w:val="38"/>
                    <w:snapToGrid w:val="0"/>
                    <w:rPr>
                      <w:b/>
                      <w:color w:val="auto"/>
                      <w:sz w:val="21"/>
                      <w:szCs w:val="21"/>
                    </w:rPr>
                  </w:pPr>
                  <w:r>
                    <w:rPr>
                      <w:b/>
                      <w:color w:val="auto"/>
                      <w:sz w:val="21"/>
                      <w:szCs w:val="21"/>
                    </w:rPr>
                    <w:t>昼间</w:t>
                  </w:r>
                </w:p>
              </w:tc>
              <w:tc>
                <w:tcPr>
                  <w:tcW w:w="724" w:type="pct"/>
                  <w:vAlign w:val="center"/>
                </w:tcPr>
                <w:p>
                  <w:pPr>
                    <w:pStyle w:val="38"/>
                    <w:snapToGrid w:val="0"/>
                    <w:rPr>
                      <w:b/>
                      <w:color w:val="auto"/>
                      <w:sz w:val="21"/>
                      <w:szCs w:val="21"/>
                    </w:rPr>
                  </w:pPr>
                  <w:r>
                    <w:rPr>
                      <w:b/>
                      <w:color w:val="auto"/>
                      <w:sz w:val="21"/>
                      <w:szCs w:val="21"/>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Align w:val="center"/>
                </w:tcPr>
                <w:p>
                  <w:pPr>
                    <w:pStyle w:val="38"/>
                    <w:snapToGrid w:val="0"/>
                    <w:rPr>
                      <w:color w:val="auto"/>
                      <w:sz w:val="21"/>
                      <w:szCs w:val="21"/>
                    </w:rPr>
                  </w:pPr>
                  <w:r>
                    <w:rPr>
                      <w:color w:val="auto"/>
                      <w:sz w:val="21"/>
                      <w:szCs w:val="21"/>
                    </w:rPr>
                    <w:t>装载机</w:t>
                  </w:r>
                </w:p>
              </w:tc>
              <w:tc>
                <w:tcPr>
                  <w:tcW w:w="407" w:type="pct"/>
                  <w:vAlign w:val="center"/>
                </w:tcPr>
                <w:p>
                  <w:pPr>
                    <w:pStyle w:val="38"/>
                    <w:snapToGrid w:val="0"/>
                    <w:rPr>
                      <w:color w:val="auto"/>
                      <w:sz w:val="21"/>
                      <w:szCs w:val="21"/>
                    </w:rPr>
                  </w:pPr>
                  <w:r>
                    <w:rPr>
                      <w:color w:val="auto"/>
                      <w:sz w:val="21"/>
                      <w:szCs w:val="21"/>
                    </w:rPr>
                    <w:t>84.0</w:t>
                  </w:r>
                </w:p>
              </w:tc>
              <w:tc>
                <w:tcPr>
                  <w:tcW w:w="363" w:type="pct"/>
                  <w:vAlign w:val="center"/>
                </w:tcPr>
                <w:p>
                  <w:pPr>
                    <w:pStyle w:val="38"/>
                    <w:snapToGrid w:val="0"/>
                    <w:rPr>
                      <w:color w:val="auto"/>
                      <w:sz w:val="21"/>
                      <w:szCs w:val="21"/>
                    </w:rPr>
                  </w:pPr>
                  <w:r>
                    <w:rPr>
                      <w:color w:val="auto"/>
                      <w:sz w:val="21"/>
                      <w:szCs w:val="21"/>
                    </w:rPr>
                    <w:t>78.0</w:t>
                  </w:r>
                </w:p>
              </w:tc>
              <w:tc>
                <w:tcPr>
                  <w:tcW w:w="380" w:type="pct"/>
                  <w:vAlign w:val="center"/>
                </w:tcPr>
                <w:p>
                  <w:pPr>
                    <w:pStyle w:val="38"/>
                    <w:snapToGrid w:val="0"/>
                    <w:rPr>
                      <w:color w:val="auto"/>
                      <w:sz w:val="21"/>
                      <w:szCs w:val="21"/>
                    </w:rPr>
                  </w:pPr>
                  <w:r>
                    <w:rPr>
                      <w:color w:val="auto"/>
                      <w:sz w:val="21"/>
                      <w:szCs w:val="21"/>
                    </w:rPr>
                    <w:t>72.0</w:t>
                  </w:r>
                </w:p>
              </w:tc>
              <w:tc>
                <w:tcPr>
                  <w:tcW w:w="354" w:type="pct"/>
                  <w:vAlign w:val="center"/>
                </w:tcPr>
                <w:p>
                  <w:pPr>
                    <w:pStyle w:val="38"/>
                    <w:snapToGrid w:val="0"/>
                    <w:rPr>
                      <w:color w:val="auto"/>
                      <w:sz w:val="21"/>
                      <w:szCs w:val="21"/>
                    </w:rPr>
                  </w:pPr>
                  <w:r>
                    <w:rPr>
                      <w:color w:val="auto"/>
                      <w:sz w:val="21"/>
                      <w:szCs w:val="21"/>
                    </w:rPr>
                    <w:t>68.4</w:t>
                  </w:r>
                </w:p>
              </w:tc>
              <w:tc>
                <w:tcPr>
                  <w:tcW w:w="354" w:type="pct"/>
                  <w:vAlign w:val="center"/>
                </w:tcPr>
                <w:p>
                  <w:pPr>
                    <w:pStyle w:val="38"/>
                    <w:snapToGrid w:val="0"/>
                    <w:rPr>
                      <w:color w:val="auto"/>
                      <w:sz w:val="21"/>
                      <w:szCs w:val="21"/>
                    </w:rPr>
                  </w:pPr>
                  <w:r>
                    <w:rPr>
                      <w:color w:val="auto"/>
                      <w:sz w:val="21"/>
                      <w:szCs w:val="21"/>
                    </w:rPr>
                    <w:t>66.0</w:t>
                  </w:r>
                </w:p>
              </w:tc>
              <w:tc>
                <w:tcPr>
                  <w:tcW w:w="329" w:type="pct"/>
                  <w:vAlign w:val="center"/>
                </w:tcPr>
                <w:p>
                  <w:pPr>
                    <w:pStyle w:val="38"/>
                    <w:snapToGrid w:val="0"/>
                    <w:rPr>
                      <w:color w:val="auto"/>
                      <w:sz w:val="21"/>
                      <w:szCs w:val="21"/>
                    </w:rPr>
                  </w:pPr>
                  <w:r>
                    <w:rPr>
                      <w:color w:val="auto"/>
                      <w:sz w:val="21"/>
                      <w:szCs w:val="21"/>
                    </w:rPr>
                    <w:t>64.0</w:t>
                  </w:r>
                </w:p>
              </w:tc>
              <w:tc>
                <w:tcPr>
                  <w:tcW w:w="381" w:type="pct"/>
                  <w:vAlign w:val="center"/>
                </w:tcPr>
                <w:p>
                  <w:pPr>
                    <w:pStyle w:val="38"/>
                    <w:snapToGrid w:val="0"/>
                    <w:rPr>
                      <w:color w:val="auto"/>
                      <w:sz w:val="21"/>
                      <w:szCs w:val="21"/>
                    </w:rPr>
                  </w:pPr>
                  <w:r>
                    <w:rPr>
                      <w:color w:val="auto"/>
                      <w:sz w:val="21"/>
                      <w:szCs w:val="21"/>
                    </w:rPr>
                    <w:t>60.5</w:t>
                  </w:r>
                </w:p>
              </w:tc>
              <w:tc>
                <w:tcPr>
                  <w:tcW w:w="846" w:type="pct"/>
                  <w:vAlign w:val="center"/>
                </w:tcPr>
                <w:p>
                  <w:pPr>
                    <w:pStyle w:val="38"/>
                    <w:snapToGrid w:val="0"/>
                    <w:rPr>
                      <w:color w:val="auto"/>
                      <w:sz w:val="21"/>
                      <w:szCs w:val="21"/>
                    </w:rPr>
                  </w:pPr>
                  <w:r>
                    <w:rPr>
                      <w:color w:val="auto"/>
                      <w:sz w:val="21"/>
                      <w:szCs w:val="21"/>
                    </w:rPr>
                    <w:t>75</w:t>
                  </w:r>
                </w:p>
              </w:tc>
              <w:tc>
                <w:tcPr>
                  <w:tcW w:w="724" w:type="pct"/>
                  <w:vAlign w:val="center"/>
                </w:tcPr>
                <w:p>
                  <w:pPr>
                    <w:pStyle w:val="38"/>
                    <w:snapToGrid w:val="0"/>
                    <w:rPr>
                      <w:color w:val="auto"/>
                      <w:sz w:val="21"/>
                      <w:szCs w:val="21"/>
                    </w:rPr>
                  </w:pPr>
                  <w:r>
                    <w:rPr>
                      <w:color w:val="auto"/>
                      <w:sz w:val="21"/>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6" w:type="pct"/>
                  <w:vAlign w:val="center"/>
                </w:tcPr>
                <w:p>
                  <w:pPr>
                    <w:pStyle w:val="38"/>
                    <w:snapToGrid w:val="0"/>
                    <w:rPr>
                      <w:color w:val="auto"/>
                      <w:sz w:val="21"/>
                      <w:szCs w:val="21"/>
                    </w:rPr>
                  </w:pPr>
                  <w:r>
                    <w:rPr>
                      <w:color w:val="auto"/>
                      <w:sz w:val="21"/>
                      <w:szCs w:val="21"/>
                    </w:rPr>
                    <w:t>挖掘机</w:t>
                  </w:r>
                </w:p>
              </w:tc>
              <w:tc>
                <w:tcPr>
                  <w:tcW w:w="407" w:type="pct"/>
                  <w:vAlign w:val="center"/>
                </w:tcPr>
                <w:p>
                  <w:pPr>
                    <w:pStyle w:val="38"/>
                    <w:snapToGrid w:val="0"/>
                    <w:rPr>
                      <w:color w:val="auto"/>
                      <w:sz w:val="21"/>
                      <w:szCs w:val="21"/>
                    </w:rPr>
                  </w:pPr>
                  <w:r>
                    <w:rPr>
                      <w:color w:val="auto"/>
                      <w:sz w:val="21"/>
                      <w:szCs w:val="21"/>
                    </w:rPr>
                    <w:t>78.0</w:t>
                  </w:r>
                </w:p>
              </w:tc>
              <w:tc>
                <w:tcPr>
                  <w:tcW w:w="363" w:type="pct"/>
                  <w:vAlign w:val="center"/>
                </w:tcPr>
                <w:p>
                  <w:pPr>
                    <w:pStyle w:val="38"/>
                    <w:snapToGrid w:val="0"/>
                    <w:rPr>
                      <w:color w:val="auto"/>
                      <w:sz w:val="21"/>
                      <w:szCs w:val="21"/>
                    </w:rPr>
                  </w:pPr>
                  <w:r>
                    <w:rPr>
                      <w:color w:val="auto"/>
                      <w:sz w:val="21"/>
                      <w:szCs w:val="21"/>
                    </w:rPr>
                    <w:t>72.0</w:t>
                  </w:r>
                </w:p>
              </w:tc>
              <w:tc>
                <w:tcPr>
                  <w:tcW w:w="380" w:type="pct"/>
                  <w:vAlign w:val="center"/>
                </w:tcPr>
                <w:p>
                  <w:pPr>
                    <w:pStyle w:val="38"/>
                    <w:snapToGrid w:val="0"/>
                    <w:rPr>
                      <w:color w:val="auto"/>
                      <w:sz w:val="21"/>
                      <w:szCs w:val="21"/>
                    </w:rPr>
                  </w:pPr>
                  <w:r>
                    <w:rPr>
                      <w:color w:val="auto"/>
                      <w:sz w:val="21"/>
                      <w:szCs w:val="21"/>
                    </w:rPr>
                    <w:t>66.0</w:t>
                  </w:r>
                </w:p>
              </w:tc>
              <w:tc>
                <w:tcPr>
                  <w:tcW w:w="354" w:type="pct"/>
                  <w:vAlign w:val="center"/>
                </w:tcPr>
                <w:p>
                  <w:pPr>
                    <w:pStyle w:val="38"/>
                    <w:snapToGrid w:val="0"/>
                    <w:rPr>
                      <w:color w:val="auto"/>
                      <w:sz w:val="21"/>
                      <w:szCs w:val="21"/>
                    </w:rPr>
                  </w:pPr>
                  <w:r>
                    <w:rPr>
                      <w:color w:val="auto"/>
                      <w:sz w:val="21"/>
                      <w:szCs w:val="21"/>
                    </w:rPr>
                    <w:t>62.4</w:t>
                  </w:r>
                </w:p>
              </w:tc>
              <w:tc>
                <w:tcPr>
                  <w:tcW w:w="354" w:type="pct"/>
                  <w:vAlign w:val="center"/>
                </w:tcPr>
                <w:p>
                  <w:pPr>
                    <w:pStyle w:val="38"/>
                    <w:snapToGrid w:val="0"/>
                    <w:rPr>
                      <w:color w:val="auto"/>
                      <w:sz w:val="21"/>
                      <w:szCs w:val="21"/>
                    </w:rPr>
                  </w:pPr>
                  <w:r>
                    <w:rPr>
                      <w:color w:val="auto"/>
                      <w:sz w:val="21"/>
                      <w:szCs w:val="21"/>
                    </w:rPr>
                    <w:t>60.0</w:t>
                  </w:r>
                </w:p>
              </w:tc>
              <w:tc>
                <w:tcPr>
                  <w:tcW w:w="329" w:type="pct"/>
                  <w:vAlign w:val="center"/>
                </w:tcPr>
                <w:p>
                  <w:pPr>
                    <w:pStyle w:val="38"/>
                    <w:snapToGrid w:val="0"/>
                    <w:rPr>
                      <w:color w:val="auto"/>
                      <w:sz w:val="21"/>
                      <w:szCs w:val="21"/>
                    </w:rPr>
                  </w:pPr>
                  <w:r>
                    <w:rPr>
                      <w:color w:val="auto"/>
                      <w:sz w:val="21"/>
                      <w:szCs w:val="21"/>
                    </w:rPr>
                    <w:t>58.0</w:t>
                  </w:r>
                </w:p>
              </w:tc>
              <w:tc>
                <w:tcPr>
                  <w:tcW w:w="381" w:type="pct"/>
                  <w:vAlign w:val="center"/>
                </w:tcPr>
                <w:p>
                  <w:pPr>
                    <w:pStyle w:val="38"/>
                    <w:snapToGrid w:val="0"/>
                    <w:rPr>
                      <w:color w:val="auto"/>
                      <w:sz w:val="21"/>
                      <w:szCs w:val="21"/>
                    </w:rPr>
                  </w:pPr>
                  <w:r>
                    <w:rPr>
                      <w:color w:val="auto"/>
                      <w:sz w:val="21"/>
                      <w:szCs w:val="21"/>
                    </w:rPr>
                    <w:t>54.5</w:t>
                  </w:r>
                </w:p>
              </w:tc>
              <w:tc>
                <w:tcPr>
                  <w:tcW w:w="846" w:type="pct"/>
                  <w:vAlign w:val="center"/>
                </w:tcPr>
                <w:p>
                  <w:pPr>
                    <w:pStyle w:val="38"/>
                    <w:snapToGrid w:val="0"/>
                    <w:rPr>
                      <w:color w:val="auto"/>
                      <w:sz w:val="21"/>
                      <w:szCs w:val="21"/>
                    </w:rPr>
                  </w:pPr>
                  <w:r>
                    <w:rPr>
                      <w:color w:val="auto"/>
                      <w:sz w:val="21"/>
                      <w:szCs w:val="21"/>
                    </w:rPr>
                    <w:t>75</w:t>
                  </w:r>
                </w:p>
              </w:tc>
              <w:tc>
                <w:tcPr>
                  <w:tcW w:w="724" w:type="pct"/>
                  <w:vAlign w:val="center"/>
                </w:tcPr>
                <w:p>
                  <w:pPr>
                    <w:pStyle w:val="38"/>
                    <w:snapToGrid w:val="0"/>
                    <w:rPr>
                      <w:color w:val="auto"/>
                      <w:sz w:val="21"/>
                      <w:szCs w:val="21"/>
                    </w:rPr>
                  </w:pPr>
                  <w:r>
                    <w:rPr>
                      <w:color w:val="auto"/>
                      <w:sz w:val="21"/>
                      <w:szCs w:val="21"/>
                    </w:rPr>
                    <w:t>14</w:t>
                  </w:r>
                </w:p>
              </w:tc>
            </w:tr>
          </w:tbl>
          <w:p>
            <w:pPr>
              <w:adjustRightInd w:val="0"/>
              <w:snapToGrid w:val="0"/>
              <w:spacing w:line="360" w:lineRule="auto"/>
              <w:ind w:firstLine="480" w:firstLineChars="200"/>
              <w:rPr>
                <w:color w:val="auto"/>
                <w:sz w:val="24"/>
                <w:szCs w:val="22"/>
              </w:rPr>
            </w:pPr>
            <w:r>
              <w:rPr>
                <w:color w:val="auto"/>
                <w:sz w:val="24"/>
                <w:szCs w:val="22"/>
              </w:rPr>
              <w:t>从上表可知，施工设备噪声在无遮挡情况下，如果使用单台机械，白天最远达标距离为28m，在此距离之外可满足《建筑施工场界环境噪声排放标准》（GB12523-2011）的要求。本项目环境保护目标均在</w:t>
            </w:r>
            <w:r>
              <w:rPr>
                <w:rFonts w:hint="eastAsia"/>
                <w:color w:val="auto"/>
                <w:sz w:val="24"/>
                <w:szCs w:val="22"/>
                <w:lang w:val="en-US" w:eastAsia="zh-CN"/>
              </w:rPr>
              <w:t>50</w:t>
            </w:r>
            <w:r>
              <w:rPr>
                <w:color w:val="auto"/>
                <w:sz w:val="24"/>
                <w:szCs w:val="22"/>
              </w:rPr>
              <w:t>m外。本项目随着工程竣工，施工噪声的影响将不再存在，本期工程夜间不施工。</w:t>
            </w:r>
          </w:p>
          <w:p>
            <w:pPr>
              <w:adjustRightInd w:val="0"/>
              <w:snapToGrid w:val="0"/>
              <w:spacing w:line="360" w:lineRule="auto"/>
              <w:ind w:firstLine="480" w:firstLineChars="200"/>
              <w:rPr>
                <w:color w:val="auto"/>
                <w:sz w:val="24"/>
                <w:szCs w:val="22"/>
              </w:rPr>
            </w:pPr>
            <w:r>
              <w:rPr>
                <w:rFonts w:hint="eastAsia"/>
                <w:color w:val="auto"/>
                <w:sz w:val="24"/>
                <w:szCs w:val="22"/>
              </w:rPr>
              <w:t>（3）</w:t>
            </w:r>
            <w:r>
              <w:rPr>
                <w:color w:val="auto"/>
                <w:sz w:val="24"/>
                <w:szCs w:val="22"/>
              </w:rPr>
              <w:t>施工期机械设备噪声防治措施</w:t>
            </w:r>
          </w:p>
          <w:p>
            <w:pPr>
              <w:adjustRightInd w:val="0"/>
              <w:snapToGrid w:val="0"/>
              <w:spacing w:line="360" w:lineRule="auto"/>
              <w:ind w:firstLine="480" w:firstLineChars="200"/>
              <w:rPr>
                <w:color w:val="auto"/>
                <w:sz w:val="24"/>
                <w:szCs w:val="22"/>
              </w:rPr>
            </w:pPr>
            <w:r>
              <w:rPr>
                <w:color w:val="auto"/>
                <w:sz w:val="24"/>
                <w:szCs w:val="22"/>
              </w:rPr>
              <w:t>本项目拟采取如下噪声污染防止措施：</w:t>
            </w:r>
          </w:p>
          <w:p>
            <w:pPr>
              <w:adjustRightInd w:val="0"/>
              <w:snapToGrid w:val="0"/>
              <w:spacing w:line="360" w:lineRule="auto"/>
              <w:ind w:firstLine="480" w:firstLineChars="200"/>
              <w:rPr>
                <w:color w:val="auto"/>
                <w:sz w:val="24"/>
                <w:szCs w:val="22"/>
              </w:rPr>
            </w:pPr>
            <w:r>
              <w:rPr>
                <w:rFonts w:hint="eastAsia"/>
                <w:color w:val="auto"/>
                <w:sz w:val="24"/>
                <w:szCs w:val="22"/>
              </w:rPr>
              <w:t>①</w:t>
            </w:r>
            <w:r>
              <w:rPr>
                <w:color w:val="auto"/>
                <w:sz w:val="24"/>
                <w:szCs w:val="22"/>
              </w:rPr>
              <w:t>合理安排施工作业时间，禁止夜间进行高噪声施工作业，噪声源较强的作业时间可放在昼间（0</w:t>
            </w:r>
            <w:r>
              <w:rPr>
                <w:rFonts w:hint="eastAsia"/>
                <w:color w:val="auto"/>
                <w:sz w:val="24"/>
                <w:szCs w:val="22"/>
              </w:rPr>
              <w:t>8</w:t>
            </w:r>
            <w:r>
              <w:rPr>
                <w:color w:val="auto"/>
                <w:sz w:val="24"/>
                <w:szCs w:val="22"/>
              </w:rPr>
              <w:t>:00~2</w:t>
            </w:r>
            <w:r>
              <w:rPr>
                <w:rFonts w:hint="eastAsia"/>
                <w:color w:val="auto"/>
                <w:sz w:val="24"/>
                <w:szCs w:val="22"/>
              </w:rPr>
              <w:t>0</w:t>
            </w:r>
            <w:r>
              <w:rPr>
                <w:color w:val="auto"/>
                <w:sz w:val="24"/>
                <w:szCs w:val="22"/>
              </w:rPr>
              <w:t>:00）进行，或对各种施工机械操作时间做适当调整，以免影响周围居民正常休息。</w:t>
            </w:r>
          </w:p>
          <w:p>
            <w:pPr>
              <w:adjustRightInd w:val="0"/>
              <w:snapToGrid w:val="0"/>
              <w:spacing w:line="360" w:lineRule="auto"/>
              <w:ind w:firstLine="480" w:firstLineChars="200"/>
              <w:rPr>
                <w:color w:val="auto"/>
                <w:sz w:val="24"/>
                <w:szCs w:val="22"/>
              </w:rPr>
            </w:pPr>
            <w:r>
              <w:rPr>
                <w:rFonts w:hint="eastAsia"/>
                <w:color w:val="auto"/>
                <w:sz w:val="24"/>
                <w:szCs w:val="22"/>
              </w:rPr>
              <w:t>②</w:t>
            </w:r>
            <w:r>
              <w:rPr>
                <w:color w:val="auto"/>
                <w:sz w:val="24"/>
                <w:szCs w:val="22"/>
              </w:rPr>
              <w:t>降低施工设备噪声：施工单位必须选用符合国家有关标准的施工机械和运输车辆，选用低噪声的施工机械和工艺，对超过国家标准的机械禁止入场；对动力机械、设备加强定期检修、养护。</w:t>
            </w:r>
          </w:p>
          <w:p>
            <w:pPr>
              <w:adjustRightInd w:val="0"/>
              <w:snapToGrid w:val="0"/>
              <w:spacing w:line="360" w:lineRule="auto"/>
              <w:ind w:firstLine="480" w:firstLineChars="200"/>
              <w:rPr>
                <w:color w:val="auto"/>
                <w:sz w:val="24"/>
                <w:szCs w:val="22"/>
              </w:rPr>
            </w:pPr>
            <w:r>
              <w:rPr>
                <w:rFonts w:hint="eastAsia"/>
                <w:color w:val="auto"/>
                <w:sz w:val="24"/>
                <w:szCs w:val="22"/>
              </w:rPr>
              <w:t>③</w:t>
            </w:r>
            <w:r>
              <w:rPr>
                <w:color w:val="auto"/>
                <w:sz w:val="24"/>
                <w:szCs w:val="22"/>
              </w:rPr>
              <w:t>降低人为噪声：按规定操作机械设备，模板、支架装卸过程中，尽量减少碰撞声音；尽量少用哨子、笛等指挥作业。</w:t>
            </w:r>
          </w:p>
          <w:p>
            <w:pPr>
              <w:adjustRightInd w:val="0"/>
              <w:snapToGrid w:val="0"/>
              <w:spacing w:line="360" w:lineRule="auto"/>
              <w:ind w:firstLine="480" w:firstLineChars="200"/>
              <w:rPr>
                <w:color w:val="auto"/>
                <w:sz w:val="24"/>
                <w:szCs w:val="22"/>
              </w:rPr>
            </w:pPr>
            <w:r>
              <w:rPr>
                <w:rFonts w:hint="eastAsia"/>
                <w:color w:val="auto"/>
                <w:sz w:val="24"/>
                <w:szCs w:val="22"/>
              </w:rPr>
              <w:t>④</w:t>
            </w:r>
            <w:r>
              <w:rPr>
                <w:color w:val="auto"/>
                <w:sz w:val="24"/>
                <w:szCs w:val="22"/>
              </w:rPr>
              <w:t>加强对周边环境保护目标距离较近的施工路段的施工管理，合理制定施工计划，避免在同一时间使用多种高噪设备，禁止在午休（12:00-14:00）和夜间（2</w:t>
            </w:r>
            <w:r>
              <w:rPr>
                <w:rFonts w:hint="eastAsia"/>
                <w:color w:val="auto"/>
                <w:sz w:val="24"/>
                <w:szCs w:val="22"/>
              </w:rPr>
              <w:t>0</w:t>
            </w:r>
            <w:r>
              <w:rPr>
                <w:color w:val="auto"/>
                <w:sz w:val="24"/>
                <w:szCs w:val="22"/>
              </w:rPr>
              <w:t>:00-</w:t>
            </w:r>
            <w:r>
              <w:rPr>
                <w:rFonts w:hint="eastAsia"/>
                <w:color w:val="auto"/>
                <w:sz w:val="24"/>
                <w:szCs w:val="22"/>
              </w:rPr>
              <w:t>8</w:t>
            </w:r>
            <w:r>
              <w:rPr>
                <w:color w:val="auto"/>
                <w:sz w:val="24"/>
                <w:szCs w:val="22"/>
              </w:rPr>
              <w:t>:00）运行，如确需夜间施工，应向当地环保行政主管部门申报，办理允许夜间施工的手续，同时还要在施工区域周围张贴公告，告知周边公民需要进行夜间施工，以取得周边居民的谅解后方可进行。</w:t>
            </w:r>
          </w:p>
          <w:p>
            <w:pPr>
              <w:adjustRightInd w:val="0"/>
              <w:snapToGrid w:val="0"/>
              <w:spacing w:line="360" w:lineRule="auto"/>
              <w:ind w:firstLine="480" w:firstLineChars="200"/>
              <w:rPr>
                <w:color w:val="auto"/>
                <w:sz w:val="24"/>
                <w:szCs w:val="22"/>
              </w:rPr>
            </w:pPr>
            <w:r>
              <w:rPr>
                <w:rFonts w:hint="eastAsia"/>
                <w:color w:val="auto"/>
                <w:sz w:val="24"/>
                <w:szCs w:val="22"/>
              </w:rPr>
              <w:t>⑤</w:t>
            </w:r>
            <w:r>
              <w:rPr>
                <w:color w:val="auto"/>
                <w:sz w:val="24"/>
                <w:szCs w:val="22"/>
              </w:rPr>
              <w:t>在临近敏感目标施工时，可根据施工噪声大小安装临时隔声屏障。</w:t>
            </w:r>
          </w:p>
          <w:p>
            <w:pPr>
              <w:adjustRightInd w:val="0"/>
              <w:snapToGrid w:val="0"/>
              <w:spacing w:line="360" w:lineRule="auto"/>
              <w:ind w:firstLine="480" w:firstLineChars="200"/>
              <w:rPr>
                <w:color w:val="auto"/>
                <w:sz w:val="24"/>
                <w:szCs w:val="22"/>
              </w:rPr>
            </w:pPr>
            <w:r>
              <w:rPr>
                <w:rFonts w:hint="eastAsia"/>
                <w:color w:val="auto"/>
                <w:sz w:val="24"/>
                <w:szCs w:val="22"/>
              </w:rPr>
              <w:t>⑥</w:t>
            </w:r>
            <w:r>
              <w:rPr>
                <w:color w:val="auto"/>
                <w:sz w:val="24"/>
                <w:szCs w:val="22"/>
              </w:rPr>
              <w:t>主要施工机械设备安装减振装置，减小机械设备振动和噪声。</w:t>
            </w:r>
          </w:p>
          <w:p>
            <w:pPr>
              <w:adjustRightInd w:val="0"/>
              <w:snapToGrid w:val="0"/>
              <w:spacing w:line="360" w:lineRule="auto"/>
              <w:ind w:firstLine="480" w:firstLineChars="200"/>
              <w:rPr>
                <w:color w:val="auto"/>
                <w:sz w:val="24"/>
                <w:szCs w:val="22"/>
              </w:rPr>
            </w:pPr>
            <w:r>
              <w:rPr>
                <w:color w:val="auto"/>
                <w:sz w:val="24"/>
                <w:szCs w:val="22"/>
              </w:rPr>
              <w:t>施工机械设备噪声具有阶段性、临时性和不固定性的特征，施工结束，施工机械设备噪声也随之消失。</w:t>
            </w:r>
          </w:p>
          <w:p>
            <w:pPr>
              <w:adjustRightInd w:val="0"/>
              <w:snapToGrid w:val="0"/>
              <w:spacing w:line="360" w:lineRule="auto"/>
              <w:ind w:firstLine="480" w:firstLineChars="200"/>
              <w:rPr>
                <w:color w:val="auto"/>
                <w:sz w:val="24"/>
                <w:szCs w:val="22"/>
              </w:rPr>
            </w:pPr>
            <w:r>
              <w:rPr>
                <w:color w:val="auto"/>
                <w:sz w:val="24"/>
                <w:szCs w:val="22"/>
              </w:rPr>
              <w:t>在采取以上措施后，项目施工机械设备噪声能是到较大降低，措施可行。</w:t>
            </w:r>
          </w:p>
          <w:p>
            <w:pPr>
              <w:adjustRightInd w:val="0"/>
              <w:snapToGrid w:val="0"/>
              <w:spacing w:line="360" w:lineRule="auto"/>
              <w:ind w:firstLine="480" w:firstLineChars="200"/>
              <w:rPr>
                <w:color w:val="auto"/>
                <w:sz w:val="24"/>
                <w:szCs w:val="22"/>
              </w:rPr>
            </w:pPr>
            <w:r>
              <w:rPr>
                <w:rFonts w:hint="eastAsia"/>
                <w:color w:val="auto"/>
                <w:sz w:val="24"/>
                <w:szCs w:val="22"/>
              </w:rPr>
              <w:t>（4）</w:t>
            </w:r>
            <w:r>
              <w:rPr>
                <w:color w:val="auto"/>
                <w:sz w:val="24"/>
                <w:szCs w:val="22"/>
              </w:rPr>
              <w:t>运输车辆噪声影响分析</w:t>
            </w:r>
          </w:p>
          <w:p>
            <w:pPr>
              <w:adjustRightInd w:val="0"/>
              <w:snapToGrid w:val="0"/>
              <w:spacing w:line="360" w:lineRule="auto"/>
              <w:ind w:firstLine="480" w:firstLineChars="200"/>
              <w:rPr>
                <w:color w:val="auto"/>
                <w:sz w:val="24"/>
                <w:szCs w:val="22"/>
              </w:rPr>
            </w:pPr>
            <w:r>
              <w:rPr>
                <w:color w:val="auto"/>
                <w:sz w:val="24"/>
                <w:szCs w:val="22"/>
              </w:rPr>
              <w:t>本项目采取如下运输车辆污染防治措施：</w:t>
            </w:r>
          </w:p>
          <w:p>
            <w:pPr>
              <w:adjustRightInd w:val="0"/>
              <w:snapToGrid w:val="0"/>
              <w:spacing w:line="360" w:lineRule="auto"/>
              <w:ind w:firstLine="480" w:firstLineChars="200"/>
              <w:rPr>
                <w:color w:val="auto"/>
                <w:sz w:val="24"/>
                <w:szCs w:val="22"/>
              </w:rPr>
            </w:pPr>
            <w:r>
              <w:rPr>
                <w:rFonts w:hint="eastAsia"/>
                <w:color w:val="auto"/>
                <w:sz w:val="24"/>
                <w:szCs w:val="22"/>
              </w:rPr>
              <w:t>①</w:t>
            </w:r>
            <w:r>
              <w:rPr>
                <w:color w:val="auto"/>
                <w:sz w:val="24"/>
                <w:szCs w:val="22"/>
              </w:rPr>
              <w:t>选用车况良好的运输车辆，加强运输车辆养护，降低车辆零部件摩擦产生的噪声。</w:t>
            </w:r>
          </w:p>
          <w:p>
            <w:pPr>
              <w:adjustRightInd w:val="0"/>
              <w:snapToGrid w:val="0"/>
              <w:spacing w:line="360" w:lineRule="auto"/>
              <w:ind w:firstLine="480" w:firstLineChars="200"/>
              <w:rPr>
                <w:color w:val="auto"/>
                <w:sz w:val="24"/>
                <w:szCs w:val="22"/>
              </w:rPr>
            </w:pPr>
            <w:r>
              <w:rPr>
                <w:rFonts w:hint="eastAsia"/>
                <w:color w:val="auto"/>
                <w:sz w:val="24"/>
                <w:szCs w:val="22"/>
              </w:rPr>
              <w:t>②</w:t>
            </w:r>
            <w:r>
              <w:rPr>
                <w:color w:val="auto"/>
                <w:sz w:val="24"/>
                <w:szCs w:val="22"/>
              </w:rPr>
              <w:t>优选施工便道，尽量避开人群密集居民点路段。</w:t>
            </w:r>
          </w:p>
          <w:p>
            <w:pPr>
              <w:adjustRightInd w:val="0"/>
              <w:snapToGrid w:val="0"/>
              <w:spacing w:line="360" w:lineRule="auto"/>
              <w:ind w:firstLine="480" w:firstLineChars="200"/>
              <w:rPr>
                <w:color w:val="auto"/>
                <w:sz w:val="24"/>
                <w:szCs w:val="22"/>
              </w:rPr>
            </w:pPr>
            <w:r>
              <w:rPr>
                <w:rFonts w:hint="eastAsia"/>
                <w:color w:val="auto"/>
                <w:sz w:val="24"/>
                <w:szCs w:val="22"/>
              </w:rPr>
              <w:t>③</w:t>
            </w:r>
            <w:r>
              <w:rPr>
                <w:color w:val="auto"/>
                <w:sz w:val="24"/>
                <w:szCs w:val="22"/>
              </w:rPr>
              <w:t>运输车辆排气口安装消声器。</w:t>
            </w:r>
          </w:p>
          <w:p>
            <w:pPr>
              <w:adjustRightInd w:val="0"/>
              <w:snapToGrid w:val="0"/>
              <w:spacing w:line="360" w:lineRule="auto"/>
              <w:ind w:firstLine="480" w:firstLineChars="200"/>
              <w:rPr>
                <w:color w:val="auto"/>
                <w:sz w:val="24"/>
                <w:szCs w:val="22"/>
              </w:rPr>
            </w:pPr>
            <w:r>
              <w:rPr>
                <w:rFonts w:hint="eastAsia"/>
                <w:color w:val="auto"/>
                <w:sz w:val="24"/>
                <w:szCs w:val="22"/>
              </w:rPr>
              <w:t>④</w:t>
            </w:r>
            <w:r>
              <w:rPr>
                <w:color w:val="auto"/>
                <w:sz w:val="24"/>
                <w:szCs w:val="22"/>
              </w:rPr>
              <w:t>注意施工便道清扫保洁，降低车辆地面摩擦噪声。</w:t>
            </w:r>
          </w:p>
          <w:p>
            <w:pPr>
              <w:adjustRightInd w:val="0"/>
              <w:snapToGrid w:val="0"/>
              <w:spacing w:line="360" w:lineRule="auto"/>
              <w:ind w:firstLine="480" w:firstLineChars="200"/>
              <w:rPr>
                <w:color w:val="auto"/>
                <w:sz w:val="24"/>
                <w:szCs w:val="22"/>
              </w:rPr>
            </w:pPr>
            <w:r>
              <w:rPr>
                <w:rFonts w:hint="eastAsia"/>
                <w:color w:val="auto"/>
                <w:sz w:val="24"/>
                <w:szCs w:val="22"/>
              </w:rPr>
              <w:t>⑤</w:t>
            </w:r>
            <w:r>
              <w:rPr>
                <w:color w:val="auto"/>
                <w:sz w:val="24"/>
                <w:szCs w:val="22"/>
              </w:rPr>
              <w:t>合理安排施工作业时间，禁止夜间进行高噪声施工作业，噪声源较强的作业时间可放在昼间（0</w:t>
            </w:r>
            <w:r>
              <w:rPr>
                <w:rFonts w:hint="eastAsia"/>
                <w:color w:val="auto"/>
                <w:sz w:val="24"/>
                <w:szCs w:val="22"/>
              </w:rPr>
              <w:t>8</w:t>
            </w:r>
            <w:r>
              <w:rPr>
                <w:color w:val="auto"/>
                <w:sz w:val="24"/>
                <w:szCs w:val="22"/>
              </w:rPr>
              <w:t>:00-2</w:t>
            </w:r>
            <w:r>
              <w:rPr>
                <w:rFonts w:hint="eastAsia"/>
                <w:color w:val="auto"/>
                <w:sz w:val="24"/>
                <w:szCs w:val="22"/>
              </w:rPr>
              <w:t>0</w:t>
            </w:r>
            <w:r>
              <w:rPr>
                <w:color w:val="auto"/>
                <w:sz w:val="24"/>
                <w:szCs w:val="22"/>
              </w:rPr>
              <w:t>:00）进行，或对各种施工机械操作时间做适当调整，以免影响周围居民正常休息。</w:t>
            </w:r>
          </w:p>
          <w:p>
            <w:pPr>
              <w:adjustRightInd w:val="0"/>
              <w:snapToGrid w:val="0"/>
              <w:spacing w:line="360" w:lineRule="auto"/>
              <w:ind w:firstLine="480" w:firstLineChars="200"/>
              <w:rPr>
                <w:color w:val="auto"/>
                <w:sz w:val="24"/>
                <w:szCs w:val="22"/>
              </w:rPr>
            </w:pPr>
            <w:r>
              <w:rPr>
                <w:rFonts w:hint="eastAsia"/>
                <w:color w:val="auto"/>
                <w:sz w:val="24"/>
                <w:szCs w:val="22"/>
              </w:rPr>
              <w:t>⑥</w:t>
            </w:r>
            <w:r>
              <w:rPr>
                <w:color w:val="auto"/>
                <w:sz w:val="24"/>
                <w:szCs w:val="22"/>
              </w:rPr>
              <w:t>尽量保持运输车辆匀速行驶，弯道和施工场地进出口减速慢行。</w:t>
            </w:r>
          </w:p>
          <w:p>
            <w:pPr>
              <w:adjustRightInd w:val="0"/>
              <w:snapToGrid w:val="0"/>
              <w:spacing w:line="360" w:lineRule="auto"/>
              <w:ind w:firstLine="480" w:firstLineChars="200"/>
              <w:rPr>
                <w:color w:val="auto"/>
                <w:sz w:val="24"/>
                <w:szCs w:val="22"/>
              </w:rPr>
            </w:pPr>
            <w:r>
              <w:rPr>
                <w:color w:val="auto"/>
                <w:sz w:val="24"/>
                <w:szCs w:val="22"/>
              </w:rPr>
              <w:t>运输车辆噪声具有阶段性、临时性和不固定性，随着运输任务结束，运输车辆噪声也随之结束。</w:t>
            </w:r>
          </w:p>
          <w:p>
            <w:pPr>
              <w:adjustRightInd w:val="0"/>
              <w:snapToGrid w:val="0"/>
              <w:spacing w:line="360" w:lineRule="auto"/>
              <w:ind w:firstLine="480" w:firstLineChars="200"/>
              <w:rPr>
                <w:color w:val="auto"/>
                <w:sz w:val="24"/>
                <w:szCs w:val="22"/>
              </w:rPr>
            </w:pPr>
            <w:r>
              <w:rPr>
                <w:color w:val="auto"/>
                <w:sz w:val="24"/>
                <w:szCs w:val="22"/>
              </w:rPr>
              <w:t>本项目采取以上措施后，运输车辆噪声能得到较大降低，措施可行。</w:t>
            </w:r>
          </w:p>
          <w:p>
            <w:pPr>
              <w:adjustRightInd w:val="0"/>
              <w:snapToGrid w:val="0"/>
              <w:spacing w:line="360" w:lineRule="auto"/>
              <w:ind w:firstLine="480" w:firstLineChars="200"/>
              <w:rPr>
                <w:color w:val="auto"/>
                <w:sz w:val="24"/>
                <w:szCs w:val="22"/>
              </w:rPr>
            </w:pPr>
            <w:r>
              <w:rPr>
                <w:color w:val="auto"/>
                <w:sz w:val="24"/>
                <w:szCs w:val="22"/>
              </w:rPr>
              <w:t>综上所述，本项目施工期产生的噪声对周边环境将产生一定的影响，在采取一定的污染防治措施后，能够有效减轻施工噪声对周围环境的影响。</w:t>
            </w:r>
          </w:p>
          <w:p>
            <w:pPr>
              <w:adjustRightInd w:val="0"/>
              <w:snapToGrid w:val="0"/>
              <w:spacing w:line="360" w:lineRule="auto"/>
              <w:ind w:firstLine="482" w:firstLineChars="200"/>
              <w:rPr>
                <w:b/>
                <w:bCs/>
                <w:color w:val="auto"/>
                <w:sz w:val="24"/>
                <w:szCs w:val="22"/>
              </w:rPr>
            </w:pPr>
            <w:r>
              <w:rPr>
                <w:b/>
                <w:bCs/>
                <w:color w:val="auto"/>
                <w:sz w:val="24"/>
                <w:szCs w:val="22"/>
              </w:rPr>
              <w:t>4、固体废物防治措施</w:t>
            </w:r>
          </w:p>
          <w:p>
            <w:pPr>
              <w:adjustRightInd w:val="0"/>
              <w:snapToGrid w:val="0"/>
              <w:spacing w:line="360" w:lineRule="auto"/>
              <w:ind w:firstLine="480" w:firstLineChars="200"/>
              <w:rPr>
                <w:color w:val="auto"/>
                <w:sz w:val="24"/>
                <w:szCs w:val="22"/>
                <w:highlight w:val="none"/>
              </w:rPr>
            </w:pPr>
            <w:r>
              <w:rPr>
                <w:color w:val="auto"/>
                <w:sz w:val="24"/>
                <w:szCs w:val="22"/>
                <w:highlight w:val="none"/>
              </w:rPr>
              <w:t>施工人员生活依托煤矿现有设施，不新增生活垃圾。施工过程中的固体废物主要包括</w:t>
            </w:r>
            <w:r>
              <w:rPr>
                <w:rFonts w:hint="eastAsia"/>
                <w:color w:val="auto"/>
                <w:sz w:val="24"/>
                <w:szCs w:val="22"/>
                <w:highlight w:val="none"/>
                <w:lang w:eastAsia="zh-CN"/>
              </w:rPr>
              <w:t>是</w:t>
            </w:r>
            <w:r>
              <w:rPr>
                <w:color w:val="auto"/>
                <w:sz w:val="24"/>
                <w:szCs w:val="22"/>
                <w:highlight w:val="none"/>
              </w:rPr>
              <w:t>渣土和施工场地建筑垃圾。建筑垃圾主要来源于开挖土方和建筑施工中的废弃物，如水泥、砖瓦、石灰、沙石等。</w:t>
            </w:r>
          </w:p>
          <w:p>
            <w:pPr>
              <w:adjustRightInd w:val="0"/>
              <w:snapToGrid w:val="0"/>
              <w:spacing w:line="360" w:lineRule="auto"/>
              <w:ind w:firstLine="480" w:firstLineChars="200"/>
              <w:rPr>
                <w:color w:val="auto"/>
                <w:sz w:val="24"/>
                <w:szCs w:val="22"/>
                <w:highlight w:val="none"/>
              </w:rPr>
            </w:pPr>
            <w:r>
              <w:rPr>
                <w:color w:val="auto"/>
                <w:sz w:val="24"/>
                <w:szCs w:val="22"/>
                <w:highlight w:val="none"/>
              </w:rPr>
              <w:t>施工结束后，需拆除的临时建筑物及时拆除，施工现场应设密闭式垃圾堆放处。</w:t>
            </w:r>
            <w:r>
              <w:rPr>
                <w:rFonts w:hint="eastAsia"/>
                <w:color w:val="auto"/>
                <w:sz w:val="24"/>
                <w:szCs w:val="22"/>
                <w:highlight w:val="none"/>
              </w:rPr>
              <w:t>建筑垃圾能综合利用的全部综合利用，不能综合利用的全部由建设单位统一运至政府指定地点</w:t>
            </w:r>
            <w:r>
              <w:rPr>
                <w:color w:val="auto"/>
                <w:sz w:val="24"/>
                <w:szCs w:val="22"/>
                <w:highlight w:val="none"/>
              </w:rPr>
              <w:t>。施工垃圾清运必须采用封闭式专用垃圾道或封闭式容器吊运，严禁凌空抛撒。</w:t>
            </w:r>
          </w:p>
          <w:p>
            <w:pPr>
              <w:adjustRightInd w:val="0"/>
              <w:snapToGrid w:val="0"/>
              <w:spacing w:line="360" w:lineRule="auto"/>
              <w:ind w:firstLine="480" w:firstLineChars="200"/>
              <w:rPr>
                <w:rFonts w:ascii="Times New Roman" w:hAnsi="Times New Roman" w:eastAsia="仿宋"/>
                <w:color w:val="auto"/>
                <w:sz w:val="28"/>
                <w:szCs w:val="28"/>
                <w:highlight w:val="none"/>
              </w:rPr>
            </w:pPr>
            <w:r>
              <w:rPr>
                <w:color w:val="auto"/>
                <w:sz w:val="24"/>
                <w:szCs w:val="22"/>
                <w:highlight w:val="none"/>
              </w:rPr>
              <w:t>采取以上措施后，项目施工期产生的固体废物对环境影响较小。</w:t>
            </w:r>
          </w:p>
          <w:p>
            <w:pPr>
              <w:pStyle w:val="29"/>
              <w:ind w:firstLine="482"/>
              <w:rPr>
                <w:rFonts w:ascii="Times New Roman" w:hAnsi="Times New Roman"/>
                <w:b/>
                <w:bCs w:val="0"/>
                <w:color w:val="auto"/>
                <w:spacing w:val="10"/>
              </w:rPr>
            </w:pPr>
            <w:r>
              <w:rPr>
                <w:rFonts w:ascii="Times New Roman" w:hAnsi="Times New Roman"/>
                <w:b/>
                <w:bCs w:val="0"/>
                <w:snapToGrid w:val="0"/>
                <w:color w:val="auto"/>
              </w:rPr>
              <w:t>5</w:t>
            </w:r>
            <w:r>
              <w:rPr>
                <w:rFonts w:hint="eastAsia" w:ascii="Times New Roman" w:hAnsi="Times New Roman"/>
                <w:b/>
                <w:bCs w:val="0"/>
                <w:snapToGrid w:val="0"/>
                <w:color w:val="auto"/>
              </w:rPr>
              <w:t>、</w:t>
            </w:r>
            <w:r>
              <w:rPr>
                <w:rFonts w:ascii="Times New Roman" w:hAnsi="Times New Roman"/>
                <w:b/>
                <w:bCs w:val="0"/>
                <w:snapToGrid w:val="0"/>
                <w:color w:val="auto"/>
              </w:rPr>
              <w:t>生态环境恢复措施</w:t>
            </w:r>
          </w:p>
          <w:p>
            <w:pPr>
              <w:pStyle w:val="29"/>
              <w:rPr>
                <w:rFonts w:ascii="Times New Roman" w:hAnsi="Times New Roman"/>
                <w:snapToGrid w:val="0"/>
                <w:color w:val="auto"/>
                <w:highlight w:val="none"/>
              </w:rPr>
            </w:pPr>
            <w:bookmarkStart w:id="102" w:name="_Toc31424"/>
            <w:bookmarkStart w:id="103" w:name="_Toc219864603"/>
            <w:bookmarkStart w:id="104" w:name="_Toc72202505"/>
            <w:bookmarkStart w:id="105" w:name="_Toc84146477"/>
            <w:r>
              <w:rPr>
                <w:rFonts w:hint="eastAsia" w:ascii="Times New Roman" w:hAnsi="Times New Roman"/>
                <w:snapToGrid w:val="0"/>
                <w:color w:val="auto"/>
                <w:highlight w:val="none"/>
              </w:rPr>
              <w:t>工程施</w:t>
            </w:r>
            <w:r>
              <w:rPr>
                <w:rFonts w:ascii="Times New Roman" w:hAnsi="Times New Roman"/>
                <w:snapToGrid w:val="0"/>
                <w:color w:val="auto"/>
                <w:highlight w:val="none"/>
              </w:rPr>
              <w:t>工</w:t>
            </w:r>
            <w:r>
              <w:rPr>
                <w:rFonts w:hint="eastAsia" w:ascii="Times New Roman" w:hAnsi="Times New Roman"/>
                <w:snapToGrid w:val="0"/>
                <w:color w:val="auto"/>
                <w:highlight w:val="none"/>
              </w:rPr>
              <w:t>过程中</w:t>
            </w:r>
            <w:r>
              <w:rPr>
                <w:rFonts w:ascii="Times New Roman" w:hAnsi="Times New Roman"/>
                <w:snapToGrid w:val="0"/>
                <w:color w:val="auto"/>
                <w:highlight w:val="none"/>
              </w:rPr>
              <w:t>临时占地范围内</w:t>
            </w:r>
            <w:r>
              <w:rPr>
                <w:rFonts w:hint="eastAsia" w:ascii="Times New Roman" w:hAnsi="Times New Roman"/>
                <w:snapToGrid w:val="0"/>
                <w:color w:val="auto"/>
                <w:highlight w:val="none"/>
              </w:rPr>
              <w:t>扰动原地貌、占压土地、损坏植被等活动，减弱了地表的抗蚀抗冲能力，加剧了区内水土流失的发生，导致区域生态环境恶化，抗逆能力和环境容量下降。直接或间接影响地面植被、土壤、地下水等，将引起植被生长缓慢，导致土壤退化，影响生态环境和社会经济的可持续发展。</w:t>
            </w:r>
            <w:r>
              <w:rPr>
                <w:rFonts w:ascii="Times New Roman" w:hAnsi="Times New Roman"/>
                <w:snapToGrid w:val="0"/>
                <w:color w:val="auto"/>
                <w:highlight w:val="none"/>
              </w:rPr>
              <w:t>工程完工清理后应通过人工补植恢复，使得工程施工所造成的影响在一定的时期内将逐步得以恢复。拟采取的防治措施如下：</w:t>
            </w:r>
          </w:p>
          <w:p>
            <w:pPr>
              <w:pStyle w:val="29"/>
              <w:rPr>
                <w:rFonts w:ascii="Times New Roman" w:hAnsi="Times New Roman"/>
                <w:snapToGrid w:val="0"/>
                <w:color w:val="auto"/>
                <w:highlight w:val="none"/>
              </w:rPr>
            </w:pPr>
            <w:r>
              <w:rPr>
                <w:rFonts w:hint="eastAsia" w:ascii="Times New Roman" w:hAnsi="Times New Roman"/>
                <w:snapToGrid w:val="0"/>
                <w:color w:val="auto"/>
                <w:highlight w:val="none"/>
                <w:lang w:val="en-US" w:eastAsia="zh-CN"/>
              </w:rPr>
              <w:t>①</w:t>
            </w:r>
            <w:r>
              <w:rPr>
                <w:rFonts w:hint="eastAsia" w:ascii="Times New Roman" w:hAnsi="Times New Roman"/>
                <w:snapToGrid w:val="0"/>
                <w:color w:val="auto"/>
                <w:highlight w:val="none"/>
                <w:lang w:eastAsia="zh-CN"/>
              </w:rPr>
              <w:t>严格控制施工作业范围</w:t>
            </w:r>
            <w:r>
              <w:rPr>
                <w:rFonts w:hint="eastAsia" w:ascii="Times New Roman" w:hAnsi="Times New Roman"/>
                <w:snapToGrid w:val="0"/>
                <w:color w:val="auto"/>
                <w:highlight w:val="none"/>
              </w:rPr>
              <w:t>，尽量减少</w:t>
            </w:r>
            <w:r>
              <w:rPr>
                <w:rFonts w:hint="eastAsia" w:ascii="Times New Roman" w:hAnsi="Times New Roman"/>
                <w:snapToGrid w:val="0"/>
                <w:color w:val="auto"/>
                <w:highlight w:val="none"/>
                <w:lang w:eastAsia="zh-CN"/>
              </w:rPr>
              <w:t>对工程区的</w:t>
            </w:r>
            <w:r>
              <w:rPr>
                <w:rFonts w:hint="eastAsia" w:ascii="Times New Roman" w:hAnsi="Times New Roman"/>
                <w:snapToGrid w:val="0"/>
                <w:color w:val="auto"/>
                <w:highlight w:val="none"/>
              </w:rPr>
              <w:t>破坏植被；</w:t>
            </w:r>
          </w:p>
          <w:p>
            <w:pPr>
              <w:pStyle w:val="29"/>
              <w:rPr>
                <w:rFonts w:ascii="Times New Roman" w:hAnsi="Times New Roman"/>
                <w:snapToGrid w:val="0"/>
                <w:color w:val="auto"/>
                <w:highlight w:val="none"/>
              </w:rPr>
            </w:pPr>
            <w:r>
              <w:rPr>
                <w:rFonts w:hint="eastAsia" w:ascii="Times New Roman" w:hAnsi="Times New Roman"/>
                <w:snapToGrid w:val="0"/>
                <w:color w:val="auto"/>
                <w:highlight w:val="none"/>
                <w:lang w:val="en-US" w:eastAsia="zh-CN"/>
              </w:rPr>
              <w:t>②</w:t>
            </w:r>
            <w:r>
              <w:rPr>
                <w:rFonts w:hint="eastAsia" w:ascii="Times New Roman" w:hAnsi="Times New Roman"/>
                <w:snapToGrid w:val="0"/>
                <w:color w:val="auto"/>
                <w:highlight w:val="none"/>
              </w:rPr>
              <w:t>应尽可能减少植被破坏，结合地形条件，坚持边施工边恢复植被；</w:t>
            </w:r>
          </w:p>
          <w:p>
            <w:pPr>
              <w:pStyle w:val="29"/>
              <w:rPr>
                <w:rFonts w:ascii="Times New Roman" w:hAnsi="Times New Roman"/>
                <w:snapToGrid w:val="0"/>
                <w:color w:val="auto"/>
                <w:highlight w:val="none"/>
              </w:rPr>
            </w:pPr>
            <w:r>
              <w:rPr>
                <w:rFonts w:hint="eastAsia" w:ascii="Times New Roman" w:hAnsi="Times New Roman"/>
                <w:snapToGrid w:val="0"/>
                <w:color w:val="auto"/>
                <w:highlight w:val="none"/>
                <w:lang w:val="en-US" w:eastAsia="zh-CN"/>
              </w:rPr>
              <w:t>③施工过程中产生的施工废水、弃土以及建筑垃圾等妥善合理处置</w:t>
            </w:r>
            <w:r>
              <w:rPr>
                <w:rFonts w:ascii="Times New Roman" w:hAnsi="Times New Roman"/>
                <w:snapToGrid w:val="0"/>
                <w:color w:val="auto"/>
                <w:highlight w:val="none"/>
              </w:rPr>
              <w:t>，</w:t>
            </w:r>
            <w:r>
              <w:rPr>
                <w:rFonts w:hint="eastAsia" w:ascii="Times New Roman" w:hAnsi="Times New Roman"/>
                <w:snapToGrid w:val="0"/>
                <w:color w:val="auto"/>
                <w:highlight w:val="none"/>
                <w:lang w:eastAsia="zh-CN"/>
              </w:rPr>
              <w:t>避免对区域土壤和地下水造成污染</w:t>
            </w:r>
            <w:r>
              <w:rPr>
                <w:rFonts w:ascii="Times New Roman" w:hAnsi="Times New Roman"/>
                <w:snapToGrid w:val="0"/>
                <w:color w:val="auto"/>
                <w:highlight w:val="none"/>
              </w:rPr>
              <w:t>；</w:t>
            </w:r>
          </w:p>
          <w:p>
            <w:pPr>
              <w:pStyle w:val="29"/>
              <w:rPr>
                <w:rFonts w:ascii="Times New Roman" w:hAnsi="Times New Roman"/>
                <w:snapToGrid w:val="0"/>
                <w:color w:val="auto"/>
                <w:highlight w:val="none"/>
              </w:rPr>
            </w:pPr>
            <w:r>
              <w:rPr>
                <w:rFonts w:hint="eastAsia" w:ascii="Times New Roman" w:hAnsi="Times New Roman"/>
                <w:snapToGrid w:val="0"/>
                <w:color w:val="auto"/>
                <w:highlight w:val="none"/>
                <w:lang w:val="en-US" w:eastAsia="zh-CN"/>
              </w:rPr>
              <w:t>④</w:t>
            </w:r>
            <w:r>
              <w:rPr>
                <w:rFonts w:ascii="Times New Roman" w:hAnsi="Times New Roman"/>
                <w:snapToGrid w:val="0"/>
                <w:color w:val="auto"/>
                <w:highlight w:val="none"/>
              </w:rPr>
              <w:t>砂石材料可尽量向当地大型料场购买，质量易控制、数量可保证；</w:t>
            </w:r>
          </w:p>
          <w:p>
            <w:pPr>
              <w:pStyle w:val="29"/>
              <w:rPr>
                <w:rFonts w:ascii="Times New Roman" w:hAnsi="Times New Roman"/>
                <w:snapToGrid w:val="0"/>
                <w:color w:val="auto"/>
                <w:highlight w:val="none"/>
              </w:rPr>
            </w:pPr>
            <w:r>
              <w:rPr>
                <w:rFonts w:hint="eastAsia" w:ascii="Times New Roman" w:hAnsi="Times New Roman"/>
                <w:snapToGrid w:val="0"/>
                <w:color w:val="auto"/>
                <w:highlight w:val="none"/>
                <w:lang w:val="en-US" w:eastAsia="zh-CN"/>
              </w:rPr>
              <w:t>⑤</w:t>
            </w:r>
            <w:r>
              <w:rPr>
                <w:rFonts w:ascii="Times New Roman" w:hAnsi="Times New Roman"/>
                <w:snapToGrid w:val="0"/>
                <w:color w:val="auto"/>
                <w:highlight w:val="none"/>
              </w:rPr>
              <w:t>在运送材料进要修好便道，不要让材料随意散落，或造成尘土飞扬，尤其在运送砂土时应用袋装或车上加盖蓬布；</w:t>
            </w:r>
          </w:p>
          <w:p>
            <w:pPr>
              <w:pStyle w:val="29"/>
              <w:rPr>
                <w:rFonts w:hint="eastAsia" w:ascii="Times New Roman" w:hAnsi="Times New Roman" w:eastAsia="宋体"/>
                <w:snapToGrid w:val="0"/>
                <w:color w:val="auto"/>
                <w:highlight w:val="none"/>
                <w:lang w:eastAsia="zh-CN"/>
              </w:rPr>
            </w:pPr>
            <w:r>
              <w:rPr>
                <w:rFonts w:hint="eastAsia" w:ascii="Times New Roman" w:hAnsi="Times New Roman"/>
                <w:snapToGrid w:val="0"/>
                <w:color w:val="auto"/>
                <w:highlight w:val="none"/>
                <w:lang w:val="en-US" w:eastAsia="zh-CN"/>
              </w:rPr>
              <w:t>⑥</w:t>
            </w:r>
            <w:r>
              <w:rPr>
                <w:rFonts w:ascii="Times New Roman" w:hAnsi="Times New Roman"/>
                <w:snapToGrid w:val="0"/>
                <w:color w:val="auto"/>
                <w:highlight w:val="none"/>
              </w:rPr>
              <w:t>施工竣工后，要求施工单位清理施工现场，清除建筑垃圾，搬走多余材料及机械，还场地以洁净</w:t>
            </w:r>
            <w:r>
              <w:rPr>
                <w:rFonts w:hint="eastAsia" w:ascii="Times New Roman" w:hAnsi="Times New Roman"/>
                <w:snapToGrid w:val="0"/>
                <w:color w:val="auto"/>
                <w:highlight w:val="none"/>
                <w:lang w:eastAsia="zh-CN"/>
              </w:rPr>
              <w:t>。</w:t>
            </w:r>
          </w:p>
          <w:bookmarkEnd w:id="102"/>
          <w:bookmarkEnd w:id="103"/>
          <w:bookmarkEnd w:id="104"/>
          <w:bookmarkEnd w:id="105"/>
          <w:p>
            <w:pPr>
              <w:pStyle w:val="29"/>
              <w:numPr>
                <w:ilvl w:val="0"/>
                <w:numId w:val="0"/>
              </w:numPr>
              <w:ind w:firstLine="482" w:firstLineChars="200"/>
              <w:rPr>
                <w:rFonts w:hint="eastAsia" w:ascii="Times New Roman" w:hAnsi="Times New Roman"/>
                <w:b/>
                <w:bCs w:val="0"/>
                <w:snapToGrid w:val="0"/>
                <w:color w:val="auto"/>
                <w:highlight w:val="none"/>
                <w:lang w:val="en-US" w:eastAsia="zh-CN"/>
              </w:rPr>
            </w:pPr>
            <w:r>
              <w:rPr>
                <w:rFonts w:hint="eastAsia" w:ascii="Times New Roman" w:hAnsi="Times New Roman"/>
                <w:b/>
                <w:bCs w:val="0"/>
                <w:snapToGrid w:val="0"/>
                <w:color w:val="auto"/>
                <w:highlight w:val="none"/>
                <w:lang w:val="en-US" w:eastAsia="zh-CN"/>
              </w:rPr>
              <w:t>6.环境风险防范措施</w:t>
            </w:r>
          </w:p>
          <w:p>
            <w:pPr>
              <w:pStyle w:val="29"/>
              <w:rPr>
                <w:rFonts w:hint="default" w:ascii="Times New Roman" w:hAnsi="Times New Roman"/>
                <w:b/>
                <w:bCs w:val="0"/>
                <w:snapToGrid w:val="0"/>
                <w:color w:val="auto"/>
                <w:highlight w:val="none"/>
                <w:lang w:val="en-US" w:eastAsia="zh-CN"/>
              </w:rPr>
            </w:pPr>
            <w:r>
              <w:rPr>
                <w:rFonts w:hint="eastAsia" w:ascii="Times New Roman" w:hAnsi="Times New Roman"/>
                <w:b/>
                <w:bCs w:val="0"/>
                <w:snapToGrid w:val="0"/>
                <w:color w:val="auto"/>
                <w:highlight w:val="none"/>
                <w:lang w:val="en-US" w:eastAsia="zh-CN"/>
              </w:rPr>
              <w:t>6.1风险防范措施：</w:t>
            </w:r>
          </w:p>
          <w:p>
            <w:pPr>
              <w:pStyle w:val="29"/>
              <w:rPr>
                <w:rFonts w:hint="default" w:ascii="Times New Roman" w:hAnsi="Times New Roman"/>
                <w:snapToGrid w:val="0"/>
                <w:color w:val="auto"/>
                <w:highlight w:val="none"/>
                <w:lang w:val="en-US" w:eastAsia="zh-CN"/>
              </w:rPr>
            </w:pPr>
            <w:r>
              <w:rPr>
                <w:rFonts w:hint="default" w:ascii="Times New Roman" w:hAnsi="Times New Roman"/>
                <w:snapToGrid w:val="0"/>
                <w:color w:val="auto"/>
                <w:highlight w:val="none"/>
                <w:lang w:val="en-US" w:eastAsia="zh-CN"/>
              </w:rPr>
              <w:t>针对本建设项目，为尽可能减小工程对河道产生的影响，提出以下补救措施及建议：</w:t>
            </w:r>
          </w:p>
          <w:p>
            <w:pPr>
              <w:pStyle w:val="29"/>
              <w:rPr>
                <w:rFonts w:hint="default"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①</w:t>
            </w:r>
            <w:r>
              <w:rPr>
                <w:rFonts w:hint="default" w:ascii="Times New Roman" w:hAnsi="Times New Roman"/>
                <w:snapToGrid w:val="0"/>
                <w:color w:val="auto"/>
                <w:highlight w:val="none"/>
                <w:lang w:val="en-US" w:eastAsia="zh-CN"/>
              </w:rPr>
              <w:t>合理安排排洪渠等建设工期，汛期尽量避免在河道内施工；施工期要与河道主管部门、水文部门保持密切联系，根据洪水预报及水雨情信息，及时采取防、抢、撤措施，确保防洪安全；施工结束后，拆除临时设施，推平施工道路，清除弃土弃渣和剩余物料，以利洪水通畅渲泄，同时避免对河道水质及周边环境产生污染收。</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②加强对工程建设区的巡检工作，一旦发现矸石场拦渣坝坝体溃坝、排洪渠以及集水管等工程设施发生裂缝、破损时立即启动应急处置。</w:t>
            </w:r>
          </w:p>
          <w:p>
            <w:pPr>
              <w:pStyle w:val="29"/>
              <w:numPr>
                <w:ilvl w:val="0"/>
                <w:numId w:val="0"/>
              </w:numPr>
              <w:ind w:firstLine="482" w:firstLineChars="200"/>
              <w:rPr>
                <w:rFonts w:hint="eastAsia" w:ascii="Times New Roman" w:hAnsi="Times New Roman"/>
                <w:b/>
                <w:bCs w:val="0"/>
                <w:snapToGrid w:val="0"/>
                <w:color w:val="auto"/>
                <w:highlight w:val="none"/>
                <w:lang w:val="en-US" w:eastAsia="zh-CN"/>
              </w:rPr>
            </w:pPr>
            <w:r>
              <w:rPr>
                <w:rFonts w:hint="eastAsia" w:ascii="Times New Roman" w:hAnsi="Times New Roman"/>
                <w:b/>
                <w:bCs w:val="0"/>
                <w:snapToGrid w:val="0"/>
                <w:color w:val="auto"/>
                <w:highlight w:val="none"/>
                <w:lang w:val="en-US" w:eastAsia="zh-CN"/>
              </w:rPr>
              <w:t>6.2应急预案</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当发生区域性的构造运动或地震造成</w:t>
            </w:r>
            <w:r>
              <w:rPr>
                <w:rFonts w:hint="eastAsia" w:ascii="Times New Roman" w:hAnsi="Times New Roman" w:eastAsia="宋体" w:cs="Times New Roman"/>
                <w:bCs/>
                <w:color w:val="auto"/>
                <w:kern w:val="0"/>
                <w:sz w:val="24"/>
                <w:highlight w:val="none"/>
                <w:lang w:eastAsia="zh-CN" w:bidi="ar"/>
              </w:rPr>
              <w:t>排洪渠</w:t>
            </w:r>
            <w:r>
              <w:rPr>
                <w:rFonts w:hint="eastAsia" w:ascii="Times New Roman" w:hAnsi="Times New Roman" w:cs="Times New Roman"/>
                <w:bCs/>
                <w:color w:val="auto"/>
                <w:kern w:val="0"/>
                <w:sz w:val="24"/>
                <w:highlight w:val="none"/>
                <w:lang w:eastAsia="zh-CN" w:bidi="ar"/>
              </w:rPr>
              <w:t>、</w:t>
            </w:r>
            <w:r>
              <w:rPr>
                <w:rFonts w:hint="eastAsia" w:ascii="Times New Roman" w:hAnsi="Times New Roman" w:eastAsia="宋体" w:cs="Times New Roman"/>
                <w:bCs/>
                <w:color w:val="auto"/>
                <w:kern w:val="0"/>
                <w:sz w:val="24"/>
                <w:highlight w:val="none"/>
                <w:lang w:eastAsia="zh-CN" w:bidi="ar"/>
              </w:rPr>
              <w:t>排水管道</w:t>
            </w:r>
            <w:r>
              <w:rPr>
                <w:rFonts w:hint="eastAsia" w:ascii="Times New Roman" w:hAnsi="Times New Roman" w:cs="Times New Roman"/>
                <w:bCs/>
                <w:color w:val="auto"/>
                <w:kern w:val="0"/>
                <w:sz w:val="24"/>
                <w:highlight w:val="none"/>
                <w:lang w:eastAsia="zh-CN" w:bidi="ar"/>
              </w:rPr>
              <w:t>等防洪工程设施</w:t>
            </w:r>
            <w:r>
              <w:rPr>
                <w:rFonts w:hint="eastAsia" w:ascii="Times New Roman" w:hAnsi="Times New Roman"/>
                <w:snapToGrid w:val="0"/>
                <w:color w:val="auto"/>
                <w:highlight w:val="none"/>
                <w:lang w:val="en-US" w:eastAsia="zh-CN"/>
              </w:rPr>
              <w:t>出现裂缝、破损时，场区安全巡检发现异常等安全危险情况时应立即启动应急预案。</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应急预案由建设单位负责组织实施。</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⑴应急组织机构及职责</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针对可能存在的环境风险，项目应当设立事故状态下的应急救援领导小组，应急救援领导小组是为预防和处置各类突发事故的常设机构，其主要职责有：</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①编制和修改事故应急救援预案；</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②组建应急救援队伍并组织实施训练和演习；</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③检查各项安全工作的实施情况；</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④检查督促做好重大事故的预防措施和应急救援的各项准备工作；</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⑤在应急救援行动中发布和解除各项命令；</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⑥负责向上级和政府有关部门报告以及向友邻单位、周边居民通报事故情况；</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⑦负责组织调查事故发生的原因、妥善处理事故并总结经验教训。</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⑵应急处理措施</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为了有效地处理风险事故，应有切实可行的处置措施。项目风险事故应急措施包括设备器材、事故现场指挥、救护、通讯等系统的建立、现场应急措施方案、事故危害监测队伍、现场撤离和善后措施方案等。</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①设立报警、通讯系统以及事故处置领导体系；</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②制定有效处理事故的应急行动方案，并得到有关部门的认可，能与有关部门有效配合；</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③明确职责，并落实到单位和有关人员；</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④制定控制和减少事故影响范围、程度以及补救行动的实施计划；</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⑤对事故现场管理以及事故处置全过程的监督，应由富有事故处置经验的人员负责。</w:t>
            </w:r>
          </w:p>
          <w:p>
            <w:pPr>
              <w:pStyle w:val="29"/>
              <w:ind w:firstLine="482"/>
              <w:rPr>
                <w:rFonts w:ascii="Times New Roman" w:hAnsi="Times New Roman"/>
                <w:b/>
                <w:bCs w:val="0"/>
                <w:snapToGrid w:val="0"/>
                <w:color w:val="auto"/>
              </w:rPr>
            </w:pPr>
            <w:r>
              <w:rPr>
                <w:rFonts w:hint="eastAsia" w:ascii="Times New Roman" w:hAnsi="Times New Roman"/>
                <w:b/>
                <w:bCs w:val="0"/>
                <w:snapToGrid w:val="0"/>
                <w:color w:val="auto"/>
                <w:lang w:val="en-US" w:eastAsia="zh-CN"/>
              </w:rPr>
              <w:t>7</w:t>
            </w:r>
            <w:r>
              <w:rPr>
                <w:rFonts w:hint="eastAsia" w:ascii="Times New Roman" w:hAnsi="Times New Roman"/>
                <w:b/>
                <w:bCs w:val="0"/>
                <w:snapToGrid w:val="0"/>
                <w:color w:val="auto"/>
              </w:rPr>
              <w:t>、对周边环境保护目标的防治措施</w:t>
            </w:r>
          </w:p>
          <w:p>
            <w:pPr>
              <w:pStyle w:val="29"/>
              <w:rPr>
                <w:rFonts w:hint="eastAsia" w:ascii="Times New Roman" w:hAnsi="Times New Roman"/>
                <w:snapToGrid w:val="0"/>
                <w:color w:val="auto"/>
                <w:highlight w:val="none"/>
                <w:lang w:val="en-US" w:eastAsia="zh-CN"/>
              </w:rPr>
            </w:pPr>
            <w:r>
              <w:rPr>
                <w:rFonts w:hint="eastAsia" w:ascii="Times New Roman" w:hAnsi="Times New Roman"/>
                <w:snapToGrid w:val="0"/>
                <w:color w:val="auto"/>
                <w:highlight w:val="none"/>
                <w:lang w:val="en-US" w:eastAsia="zh-CN"/>
              </w:rPr>
              <w:t>项目施工过程中会对周围的环境敏感保护目标产生一定影响，本评价要求建设单位在施工时，做好施工期的污染防治措施的同时，还应重点注意以下几点：</w:t>
            </w:r>
          </w:p>
          <w:p>
            <w:pPr>
              <w:pStyle w:val="29"/>
              <w:rPr>
                <w:rFonts w:ascii="Times New Roman" w:hAnsi="Times New Roman"/>
                <w:snapToGrid w:val="0"/>
                <w:color w:val="auto"/>
              </w:rPr>
            </w:pPr>
            <w:r>
              <w:rPr>
                <w:rFonts w:hint="eastAsia" w:ascii="Times New Roman" w:hAnsi="Times New Roman"/>
                <w:snapToGrid w:val="0"/>
                <w:color w:val="auto"/>
              </w:rPr>
              <w:t>①项目在临近主要环境保护处进行施工时，须采取湿式作业等有效防尘措施，尽量减少风力扬尘的产生量；对于在施工场地堆放的少量用于回填土方，应加盖篷布，防止风力扬尘对主要环境保护目标的影响；</w:t>
            </w:r>
          </w:p>
          <w:p>
            <w:pPr>
              <w:pStyle w:val="29"/>
              <w:rPr>
                <w:rFonts w:ascii="Times New Roman" w:hAnsi="Times New Roman"/>
                <w:snapToGrid w:val="0"/>
                <w:color w:val="auto"/>
              </w:rPr>
            </w:pPr>
            <w:r>
              <w:rPr>
                <w:rFonts w:hint="eastAsia" w:ascii="Times New Roman" w:hAnsi="Times New Roman"/>
                <w:snapToGrid w:val="0"/>
                <w:color w:val="auto"/>
              </w:rPr>
              <w:t>②严禁在临近主要环境保护的地方堆放易产生扬尘的物料，确实需要堆放时，须对堆放的建筑材料进行有效的遮盖处理；</w:t>
            </w:r>
          </w:p>
          <w:p>
            <w:pPr>
              <w:pStyle w:val="29"/>
              <w:rPr>
                <w:rFonts w:ascii="Times New Roman" w:hAnsi="Times New Roman"/>
                <w:snapToGrid w:val="0"/>
                <w:color w:val="auto"/>
              </w:rPr>
            </w:pPr>
            <w:r>
              <w:rPr>
                <w:rFonts w:hint="eastAsia" w:ascii="Times New Roman" w:hAnsi="Times New Roman"/>
                <w:snapToGrid w:val="0"/>
                <w:color w:val="auto"/>
              </w:rPr>
              <w:t>③制订施工计划时，应尽可能避免高噪声设备同时施工。禁止在午休时间</w:t>
            </w:r>
            <w:r>
              <w:rPr>
                <w:rFonts w:hint="eastAsia" w:ascii="Times New Roman" w:hAnsi="Times New Roman"/>
                <w:snapToGrid w:val="0"/>
                <w:color w:val="auto"/>
                <w:lang w:eastAsia="zh-CN"/>
              </w:rPr>
              <w:t>（</w:t>
            </w:r>
            <w:r>
              <w:rPr>
                <w:rFonts w:hint="eastAsia" w:ascii="Times New Roman" w:hAnsi="Times New Roman"/>
                <w:snapToGrid w:val="0"/>
                <w:color w:val="auto"/>
              </w:rPr>
              <w:t>12：00-14：00</w:t>
            </w:r>
            <w:r>
              <w:rPr>
                <w:rFonts w:hint="eastAsia" w:ascii="Times New Roman" w:hAnsi="Times New Roman"/>
                <w:snapToGrid w:val="0"/>
                <w:color w:val="auto"/>
                <w:lang w:eastAsia="zh-CN"/>
              </w:rPr>
              <w:t>）</w:t>
            </w:r>
            <w:r>
              <w:rPr>
                <w:rFonts w:hint="eastAsia" w:ascii="Times New Roman" w:hAnsi="Times New Roman"/>
                <w:snapToGrid w:val="0"/>
                <w:color w:val="auto"/>
              </w:rPr>
              <w:t>及夜间</w:t>
            </w:r>
            <w:r>
              <w:rPr>
                <w:rFonts w:hint="eastAsia" w:ascii="Times New Roman" w:hAnsi="Times New Roman"/>
                <w:snapToGrid w:val="0"/>
                <w:color w:val="auto"/>
                <w:lang w:eastAsia="zh-CN"/>
              </w:rPr>
              <w:t>（</w:t>
            </w:r>
            <w:r>
              <w:rPr>
                <w:rFonts w:hint="eastAsia" w:ascii="Times New Roman" w:hAnsi="Times New Roman"/>
                <w:snapToGrid w:val="0"/>
                <w:color w:val="auto"/>
              </w:rPr>
              <w:t>22：00-次日8：00</w:t>
            </w:r>
            <w:r>
              <w:rPr>
                <w:rFonts w:hint="eastAsia" w:ascii="Times New Roman" w:hAnsi="Times New Roman"/>
                <w:snapToGrid w:val="0"/>
                <w:color w:val="auto"/>
                <w:lang w:eastAsia="zh-CN"/>
              </w:rPr>
              <w:t>）</w:t>
            </w:r>
            <w:r>
              <w:rPr>
                <w:rFonts w:hint="eastAsia" w:ascii="Times New Roman" w:hAnsi="Times New Roman"/>
                <w:snapToGrid w:val="0"/>
                <w:color w:val="auto"/>
              </w:rPr>
              <w:t>施工，在土方开挖和结构施工等过程中，确实需要在夜间施工的，建设单位必须征得当地环境保护管理部门的同意。</w:t>
            </w:r>
          </w:p>
          <w:p>
            <w:pPr>
              <w:pStyle w:val="29"/>
              <w:rPr>
                <w:rFonts w:ascii="Times New Roman" w:hAnsi="Times New Roman"/>
                <w:bCs w:val="0"/>
                <w:color w:val="auto"/>
                <w:spacing w:val="10"/>
              </w:rPr>
            </w:pPr>
            <w:r>
              <w:rPr>
                <w:rFonts w:hint="eastAsia" w:ascii="Times New Roman" w:hAnsi="Times New Roman"/>
                <w:snapToGrid w:val="0"/>
                <w:color w:val="auto"/>
              </w:rPr>
              <w:t>随着施工期的结束，项目施工期产生的噪声、废水和扬尘对周围环境的影响也将逐渐消失。采取以上有效的防治措施后，施工过程中产生的噪声和粉尘对周围环境保护敏感目标的影响较小。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718" w:type="dxa"/>
            <w:tcMar>
              <w:left w:w="28" w:type="dxa"/>
              <w:right w:w="28" w:type="dxa"/>
            </w:tcMar>
            <w:vAlign w:val="center"/>
          </w:tcPr>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p>
          <w:p>
            <w:pPr>
              <w:adjustRightInd w:val="0"/>
              <w:snapToGrid w:val="0"/>
              <w:jc w:val="center"/>
              <w:rPr>
                <w:bCs/>
                <w:color w:val="auto"/>
                <w:spacing w:val="10"/>
                <w:sz w:val="24"/>
              </w:rPr>
            </w:pPr>
            <w:r>
              <w:rPr>
                <w:bCs/>
                <w:color w:val="auto"/>
                <w:spacing w:val="10"/>
                <w:sz w:val="24"/>
              </w:rPr>
              <w:t>运营期生态环境保护措施</w:t>
            </w:r>
          </w:p>
          <w:p>
            <w:pPr>
              <w:adjustRightInd w:val="0"/>
              <w:snapToGrid w:val="0"/>
              <w:jc w:val="center"/>
              <w:rPr>
                <w:bCs/>
                <w:color w:val="auto"/>
                <w:spacing w:val="10"/>
                <w:sz w:val="24"/>
              </w:rPr>
            </w:pPr>
          </w:p>
          <w:p>
            <w:pPr>
              <w:adjustRightInd w:val="0"/>
              <w:snapToGrid w:val="0"/>
              <w:jc w:val="center"/>
              <w:rPr>
                <w:bCs/>
                <w:color w:val="auto"/>
                <w:spacing w:val="10"/>
                <w:sz w:val="24"/>
              </w:rPr>
            </w:pPr>
          </w:p>
          <w:p>
            <w:pPr>
              <w:pStyle w:val="2"/>
              <w:ind w:firstLine="210"/>
              <w:rPr>
                <w:rFonts w:hint="eastAsia"/>
                <w:color w:val="auto"/>
              </w:rPr>
            </w:pPr>
          </w:p>
          <w:p>
            <w:pPr>
              <w:pStyle w:val="2"/>
              <w:ind w:firstLine="210"/>
              <w:rPr>
                <w:color w:val="auto"/>
              </w:rPr>
            </w:pPr>
          </w:p>
          <w:p>
            <w:pPr>
              <w:rPr>
                <w:rFonts w:hint="eastAsia"/>
                <w:color w:val="auto"/>
              </w:rPr>
            </w:pPr>
          </w:p>
          <w:p>
            <w:pPr>
              <w:adjustRightInd w:val="0"/>
              <w:snapToGrid w:val="0"/>
              <w:jc w:val="center"/>
              <w:rPr>
                <w:bCs/>
                <w:color w:val="auto"/>
                <w:spacing w:val="10"/>
                <w:sz w:val="24"/>
              </w:rPr>
            </w:pPr>
          </w:p>
          <w:p>
            <w:pPr>
              <w:adjustRightInd w:val="0"/>
              <w:snapToGrid w:val="0"/>
              <w:jc w:val="center"/>
              <w:rPr>
                <w:rFonts w:hint="eastAsia"/>
                <w:bCs/>
                <w:color w:val="auto"/>
                <w:spacing w:val="10"/>
                <w:sz w:val="24"/>
              </w:rPr>
            </w:pPr>
          </w:p>
        </w:tc>
        <w:tc>
          <w:tcPr>
            <w:tcW w:w="8492" w:type="dxa"/>
          </w:tcPr>
          <w:p>
            <w:pPr>
              <w:spacing w:line="360" w:lineRule="auto"/>
              <w:ind w:left="454"/>
              <w:rPr>
                <w:b/>
                <w:bCs/>
                <w:color w:val="auto"/>
                <w:sz w:val="24"/>
              </w:rPr>
            </w:pPr>
            <w:r>
              <w:rPr>
                <w:b/>
                <w:bCs/>
                <w:color w:val="auto"/>
                <w:sz w:val="24"/>
              </w:rPr>
              <w:t>1</w:t>
            </w:r>
            <w:r>
              <w:rPr>
                <w:rFonts w:hint="eastAsia"/>
                <w:b/>
                <w:bCs/>
                <w:color w:val="auto"/>
                <w:sz w:val="24"/>
              </w:rPr>
              <w:t>、生态环境防护措施</w:t>
            </w:r>
          </w:p>
          <w:p>
            <w:pPr>
              <w:widowControl/>
              <w:spacing w:line="360" w:lineRule="auto"/>
              <w:ind w:firstLine="480" w:firstLineChars="200"/>
              <w:rPr>
                <w:bCs/>
                <w:color w:val="auto"/>
                <w:sz w:val="24"/>
                <w:szCs w:val="22"/>
              </w:rPr>
            </w:pPr>
            <w:r>
              <w:rPr>
                <w:rFonts w:hint="eastAsia"/>
                <w:bCs/>
                <w:color w:val="auto"/>
                <w:sz w:val="24"/>
                <w:szCs w:val="22"/>
              </w:rPr>
              <w:t>项目建成后，通过对对矸石场表层沿排洪渠方向进行带坡平整，坡比为</w:t>
            </w:r>
            <w:r>
              <w:rPr>
                <w:bCs/>
                <w:color w:val="auto"/>
                <w:sz w:val="24"/>
                <w:szCs w:val="22"/>
              </w:rPr>
              <w:t>1/300~1/500</w:t>
            </w:r>
            <w:r>
              <w:rPr>
                <w:rFonts w:hint="eastAsia"/>
                <w:bCs/>
                <w:color w:val="auto"/>
                <w:sz w:val="24"/>
                <w:szCs w:val="22"/>
              </w:rPr>
              <w:t>，平整后复垦种植苜蓿（种植面积</w:t>
            </w:r>
            <w:r>
              <w:rPr>
                <w:bCs/>
                <w:color w:val="auto"/>
                <w:sz w:val="24"/>
                <w:szCs w:val="32"/>
              </w:rPr>
              <w:t>2.5hm</w:t>
            </w:r>
            <w:r>
              <w:rPr>
                <w:bCs/>
                <w:color w:val="auto"/>
                <w:sz w:val="24"/>
                <w:szCs w:val="32"/>
                <w:vertAlign w:val="superscript"/>
              </w:rPr>
              <w:t>2</w:t>
            </w:r>
            <w:r>
              <w:rPr>
                <w:rFonts w:hint="eastAsia"/>
                <w:bCs/>
                <w:color w:val="auto"/>
                <w:sz w:val="24"/>
                <w:szCs w:val="22"/>
              </w:rPr>
              <w:t>）进行植被绿化</w:t>
            </w:r>
            <w:r>
              <w:rPr>
                <w:rFonts w:hint="eastAsia"/>
                <w:bCs/>
                <w:color w:val="auto"/>
                <w:sz w:val="24"/>
                <w:szCs w:val="32"/>
              </w:rPr>
              <w:t>，</w:t>
            </w:r>
            <w:r>
              <w:rPr>
                <w:rFonts w:hint="eastAsia" w:cs="Times New Roman"/>
                <w:color w:val="auto"/>
                <w:sz w:val="24"/>
                <w:szCs w:val="22"/>
                <w:highlight w:val="none"/>
                <w:lang w:eastAsia="zh-CN"/>
              </w:rPr>
              <w:t>王洼二矿</w:t>
            </w:r>
            <w:r>
              <w:rPr>
                <w:rFonts w:hint="eastAsia"/>
                <w:bCs/>
                <w:color w:val="auto"/>
                <w:sz w:val="24"/>
                <w:szCs w:val="22"/>
              </w:rPr>
              <w:t>矸石场、岸坡治理工程、</w:t>
            </w:r>
            <w:r>
              <w:rPr>
                <w:bCs/>
                <w:color w:val="auto"/>
                <w:sz w:val="24"/>
                <w:szCs w:val="22"/>
              </w:rPr>
              <w:t>II类一般工业固体废物处置</w:t>
            </w:r>
            <w:r>
              <w:rPr>
                <w:rFonts w:hint="eastAsia"/>
                <w:bCs/>
                <w:color w:val="auto"/>
                <w:sz w:val="24"/>
                <w:szCs w:val="22"/>
              </w:rPr>
              <w:t>场生态系统的功能及其稳定性将有较明显的改善。</w:t>
            </w:r>
            <w:r>
              <w:rPr>
                <w:rFonts w:hint="eastAsia"/>
                <w:bCs/>
                <w:color w:val="auto"/>
                <w:sz w:val="24"/>
              </w:rPr>
              <w:t>此外，</w:t>
            </w:r>
            <w:r>
              <w:rPr>
                <w:rFonts w:hint="eastAsia"/>
                <w:bCs/>
                <w:color w:val="auto"/>
                <w:sz w:val="24"/>
                <w:szCs w:val="32"/>
              </w:rPr>
              <w:t>通过项目建设，将提高</w:t>
            </w:r>
            <w:r>
              <w:rPr>
                <w:rFonts w:hint="eastAsia"/>
                <w:color w:val="auto"/>
                <w:sz w:val="24"/>
                <w:szCs w:val="32"/>
              </w:rPr>
              <w:t>工业场区及</w:t>
            </w:r>
            <w:r>
              <w:rPr>
                <w:rFonts w:hint="eastAsia"/>
                <w:bCs/>
                <w:color w:val="auto"/>
                <w:sz w:val="24"/>
                <w:szCs w:val="32"/>
              </w:rPr>
              <w:t>矸石场的防洪标准及防洪避险能力，使其能够抵御</w:t>
            </w:r>
            <w:r>
              <w:rPr>
                <w:bCs/>
                <w:color w:val="auto"/>
                <w:sz w:val="24"/>
                <w:szCs w:val="32"/>
              </w:rPr>
              <w:t>100</w:t>
            </w:r>
            <w:r>
              <w:rPr>
                <w:rFonts w:hint="eastAsia"/>
                <w:bCs/>
                <w:color w:val="auto"/>
                <w:sz w:val="24"/>
                <w:szCs w:val="32"/>
              </w:rPr>
              <w:t>年一遇洪水的威胁，确保行洪通畅，进一步改善矿区生态环境。</w:t>
            </w:r>
          </w:p>
          <w:p>
            <w:pPr>
              <w:spacing w:line="360" w:lineRule="auto"/>
              <w:ind w:firstLine="480" w:firstLineChars="200"/>
              <w:rPr>
                <w:color w:val="auto"/>
                <w:sz w:val="24"/>
                <w:szCs w:val="22"/>
              </w:rPr>
            </w:pPr>
            <w:r>
              <w:rPr>
                <w:rFonts w:hint="eastAsia"/>
                <w:color w:val="auto"/>
                <w:sz w:val="24"/>
                <w:szCs w:val="22"/>
              </w:rPr>
              <w:t>本工程施工作业位于矸石场范围内，临时道路、施工用地等不占用农田。在施工过程中严格控制施工范围，减少施工占地对周边植被的破坏；防止外来入侵种的扩散，加大宣传力度，对外来物种的危害以及传播途径向施工人员进行宣传；工程施工结束后，应及时对施工临时道路、施工用地等临时占地进行植被恢复，主要采取撒播草籽进行绿化，草种选择狗牙根草；对于取土场，施工结束后主要采取撒播草籽和种植乔木绿化，草种选择狗牙根草。</w:t>
            </w:r>
          </w:p>
          <w:p>
            <w:pPr>
              <w:widowControl/>
              <w:adjustRightInd w:val="0"/>
              <w:snapToGrid w:val="0"/>
              <w:spacing w:line="360" w:lineRule="auto"/>
              <w:ind w:firstLine="482" w:firstLineChars="200"/>
              <w:rPr>
                <w:b/>
                <w:bCs/>
                <w:color w:val="auto"/>
                <w:sz w:val="24"/>
                <w:szCs w:val="22"/>
              </w:rPr>
            </w:pPr>
            <w:r>
              <w:rPr>
                <w:b/>
                <w:bCs/>
                <w:color w:val="auto"/>
                <w:sz w:val="24"/>
                <w:szCs w:val="22"/>
              </w:rPr>
              <w:t>2</w:t>
            </w:r>
            <w:r>
              <w:rPr>
                <w:rFonts w:hint="eastAsia"/>
                <w:b/>
                <w:bCs/>
                <w:color w:val="auto"/>
                <w:sz w:val="24"/>
                <w:szCs w:val="22"/>
              </w:rPr>
              <w:t>、环境效益分析</w:t>
            </w:r>
          </w:p>
          <w:p>
            <w:pPr>
              <w:spacing w:line="360" w:lineRule="auto"/>
              <w:ind w:firstLine="480" w:firstLineChars="200"/>
              <w:rPr>
                <w:color w:val="auto"/>
                <w:sz w:val="24"/>
                <w:szCs w:val="22"/>
              </w:rPr>
            </w:pPr>
            <w:r>
              <w:rPr>
                <w:rFonts w:hint="eastAsia"/>
                <w:color w:val="auto"/>
                <w:sz w:val="24"/>
                <w:szCs w:val="22"/>
              </w:rPr>
              <w:t>通过本工程的实施，将提高工业场区及矸石场的防洪标准及防洪避险能力，使其能够抵御</w:t>
            </w:r>
            <w:r>
              <w:rPr>
                <w:color w:val="auto"/>
                <w:sz w:val="24"/>
                <w:szCs w:val="22"/>
              </w:rPr>
              <w:t>100</w:t>
            </w:r>
            <w:r>
              <w:rPr>
                <w:rFonts w:hint="eastAsia"/>
                <w:color w:val="auto"/>
                <w:sz w:val="24"/>
                <w:szCs w:val="22"/>
              </w:rPr>
              <w:t>年一遇洪水的威胁，能够保证</w:t>
            </w:r>
            <w:r>
              <w:rPr>
                <w:rFonts w:hint="eastAsia" w:cs="Times New Roman"/>
                <w:color w:val="auto"/>
                <w:sz w:val="24"/>
                <w:szCs w:val="22"/>
                <w:highlight w:val="none"/>
                <w:lang w:eastAsia="zh-CN"/>
              </w:rPr>
              <w:t>王洼二矿</w:t>
            </w:r>
            <w:r>
              <w:rPr>
                <w:rFonts w:hint="eastAsia"/>
                <w:bCs/>
                <w:color w:val="auto"/>
                <w:sz w:val="24"/>
                <w:szCs w:val="22"/>
              </w:rPr>
              <w:t>矸石场、岸坡治理工程、</w:t>
            </w:r>
            <w:r>
              <w:rPr>
                <w:bCs/>
                <w:color w:val="auto"/>
                <w:sz w:val="24"/>
                <w:szCs w:val="22"/>
              </w:rPr>
              <w:t>II类一般工业固体废物处置</w:t>
            </w:r>
            <w:r>
              <w:rPr>
                <w:rFonts w:hint="eastAsia"/>
                <w:bCs/>
                <w:color w:val="auto"/>
                <w:sz w:val="24"/>
                <w:szCs w:val="22"/>
              </w:rPr>
              <w:t>场</w:t>
            </w:r>
            <w:r>
              <w:rPr>
                <w:rFonts w:hint="eastAsia"/>
                <w:color w:val="auto"/>
                <w:sz w:val="24"/>
                <w:szCs w:val="22"/>
              </w:rPr>
              <w:t>标准内洪水行洪畅通；明确管理范围；保证矿区人民群众生命及财产安全；保障项目区社会经济持续稳定、又好又快发展；进一步改善矿区生态环境。</w:t>
            </w:r>
          </w:p>
          <w:p>
            <w:pPr>
              <w:pStyle w:val="24"/>
              <w:ind w:firstLine="520"/>
              <w:rPr>
                <w:bCs/>
                <w:color w:val="auto"/>
                <w:spacing w:val="1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18" w:type="dxa"/>
            <w:vAlign w:val="center"/>
          </w:tcPr>
          <w:p>
            <w:pPr>
              <w:adjustRightInd w:val="0"/>
              <w:snapToGrid w:val="0"/>
              <w:jc w:val="center"/>
              <w:rPr>
                <w:bCs/>
                <w:color w:val="auto"/>
                <w:sz w:val="24"/>
              </w:rPr>
            </w:pPr>
          </w:p>
          <w:p>
            <w:pPr>
              <w:adjustRightInd w:val="0"/>
              <w:snapToGrid w:val="0"/>
              <w:jc w:val="center"/>
              <w:rPr>
                <w:bCs/>
                <w:color w:val="auto"/>
                <w:sz w:val="24"/>
              </w:rPr>
            </w:pPr>
          </w:p>
          <w:p>
            <w:pPr>
              <w:pStyle w:val="2"/>
              <w:ind w:firstLine="210"/>
              <w:rPr>
                <w:color w:val="auto"/>
              </w:rPr>
            </w:pPr>
          </w:p>
          <w:p>
            <w:pPr>
              <w:rPr>
                <w:color w:val="auto"/>
              </w:rPr>
            </w:pPr>
          </w:p>
          <w:p>
            <w:pPr>
              <w:pStyle w:val="2"/>
              <w:ind w:firstLine="210"/>
              <w:rPr>
                <w:rFonts w:hint="eastAsia"/>
                <w:color w:val="auto"/>
              </w:rPr>
            </w:pPr>
          </w:p>
          <w:p>
            <w:pPr>
              <w:adjustRightInd w:val="0"/>
              <w:snapToGrid w:val="0"/>
              <w:jc w:val="center"/>
              <w:rPr>
                <w:bCs/>
                <w:color w:val="auto"/>
                <w:sz w:val="24"/>
              </w:rPr>
            </w:pPr>
          </w:p>
          <w:p>
            <w:pPr>
              <w:adjustRightInd w:val="0"/>
              <w:snapToGrid w:val="0"/>
              <w:jc w:val="center"/>
              <w:rPr>
                <w:bCs/>
                <w:color w:val="auto"/>
                <w:sz w:val="24"/>
              </w:rPr>
            </w:pPr>
          </w:p>
          <w:p>
            <w:pPr>
              <w:adjustRightInd w:val="0"/>
              <w:snapToGrid w:val="0"/>
              <w:jc w:val="center"/>
              <w:rPr>
                <w:bCs/>
                <w:color w:val="auto"/>
                <w:sz w:val="24"/>
              </w:rPr>
            </w:pPr>
            <w:r>
              <w:rPr>
                <w:bCs/>
                <w:color w:val="auto"/>
                <w:sz w:val="24"/>
              </w:rPr>
              <w:t>其他</w:t>
            </w:r>
          </w:p>
          <w:p>
            <w:pPr>
              <w:adjustRightInd w:val="0"/>
              <w:snapToGrid w:val="0"/>
              <w:jc w:val="center"/>
              <w:rPr>
                <w:bCs/>
                <w:color w:val="auto"/>
                <w:sz w:val="24"/>
              </w:rPr>
            </w:pPr>
          </w:p>
          <w:p>
            <w:pPr>
              <w:adjustRightInd w:val="0"/>
              <w:snapToGrid w:val="0"/>
              <w:jc w:val="center"/>
              <w:rPr>
                <w:bCs/>
                <w:color w:val="auto"/>
                <w:sz w:val="24"/>
              </w:rPr>
            </w:pPr>
          </w:p>
          <w:p>
            <w:pPr>
              <w:adjustRightInd w:val="0"/>
              <w:snapToGrid w:val="0"/>
              <w:jc w:val="center"/>
              <w:rPr>
                <w:bCs/>
                <w:color w:val="auto"/>
                <w:sz w:val="24"/>
              </w:rPr>
            </w:pPr>
          </w:p>
          <w:p>
            <w:pPr>
              <w:adjustRightInd w:val="0"/>
              <w:snapToGrid w:val="0"/>
              <w:jc w:val="center"/>
              <w:rPr>
                <w:bCs/>
                <w:color w:val="auto"/>
                <w:sz w:val="24"/>
              </w:rPr>
            </w:pPr>
          </w:p>
          <w:p>
            <w:pPr>
              <w:adjustRightInd w:val="0"/>
              <w:snapToGrid w:val="0"/>
              <w:jc w:val="center"/>
              <w:rPr>
                <w:bCs/>
                <w:color w:val="auto"/>
                <w:sz w:val="24"/>
              </w:rPr>
            </w:pPr>
          </w:p>
          <w:p>
            <w:pPr>
              <w:adjustRightInd w:val="0"/>
              <w:snapToGrid w:val="0"/>
              <w:jc w:val="center"/>
              <w:rPr>
                <w:bCs/>
                <w:color w:val="auto"/>
                <w:sz w:val="24"/>
              </w:rPr>
            </w:pPr>
          </w:p>
          <w:p>
            <w:pPr>
              <w:adjustRightInd w:val="0"/>
              <w:snapToGrid w:val="0"/>
              <w:jc w:val="center"/>
              <w:rPr>
                <w:bCs/>
                <w:color w:val="auto"/>
                <w:sz w:val="24"/>
              </w:rPr>
            </w:pPr>
          </w:p>
          <w:p>
            <w:pPr>
              <w:pStyle w:val="2"/>
              <w:ind w:firstLine="210"/>
              <w:rPr>
                <w:color w:val="auto"/>
              </w:rPr>
            </w:pPr>
          </w:p>
          <w:p>
            <w:pPr>
              <w:rPr>
                <w:rFonts w:hint="eastAsia"/>
                <w:color w:val="auto"/>
              </w:rPr>
            </w:pPr>
          </w:p>
          <w:p>
            <w:pPr>
              <w:adjustRightInd w:val="0"/>
              <w:snapToGrid w:val="0"/>
              <w:rPr>
                <w:rFonts w:hint="eastAsia"/>
                <w:bCs/>
                <w:color w:val="auto"/>
                <w:spacing w:val="10"/>
                <w:sz w:val="24"/>
              </w:rPr>
            </w:pPr>
          </w:p>
        </w:tc>
        <w:tc>
          <w:tcPr>
            <w:tcW w:w="8492" w:type="dxa"/>
          </w:tcPr>
          <w:p>
            <w:pPr>
              <w:pStyle w:val="36"/>
              <w:spacing w:line="336" w:lineRule="auto"/>
              <w:rPr>
                <w:rFonts w:hint="eastAsia" w:eastAsia="宋体"/>
                <w:b/>
                <w:bCs/>
                <w:color w:val="auto"/>
                <w:sz w:val="24"/>
                <w:szCs w:val="22"/>
                <w:lang w:val="en-US" w:eastAsia="zh-CN"/>
              </w:rPr>
            </w:pPr>
            <w:r>
              <w:rPr>
                <w:rFonts w:hint="eastAsia"/>
                <w:b/>
                <w:bCs/>
                <w:color w:val="auto"/>
                <w:sz w:val="24"/>
                <w:szCs w:val="22"/>
                <w:lang w:val="en-US" w:eastAsia="zh-CN"/>
              </w:rPr>
              <w:t>1、水土保持</w:t>
            </w:r>
          </w:p>
          <w:p>
            <w:pPr>
              <w:pStyle w:val="36"/>
              <w:spacing w:line="336" w:lineRule="auto"/>
              <w:rPr>
                <w:rFonts w:ascii="宋体" w:hAnsi="宋体" w:cs="宋体"/>
                <w:color w:val="auto"/>
                <w:kern w:val="2"/>
                <w:sz w:val="24"/>
                <w:szCs w:val="22"/>
              </w:rPr>
            </w:pPr>
            <w:r>
              <w:rPr>
                <w:rFonts w:hint="eastAsia"/>
                <w:color w:val="auto"/>
                <w:sz w:val="24"/>
                <w:szCs w:val="22"/>
              </w:rPr>
              <w:t>根据《中华人民共和国水土保持法》、《宁夏回族自治区实施</w:t>
            </w:r>
            <w:r>
              <w:rPr>
                <w:color w:val="auto"/>
                <w:sz w:val="24"/>
                <w:szCs w:val="22"/>
              </w:rPr>
              <w:t>&lt;</w:t>
            </w:r>
            <w:r>
              <w:rPr>
                <w:rFonts w:hint="eastAsia"/>
                <w:color w:val="auto"/>
                <w:sz w:val="24"/>
                <w:szCs w:val="22"/>
              </w:rPr>
              <w:t>中华人民共和国水土保持法</w:t>
            </w:r>
            <w:r>
              <w:rPr>
                <w:color w:val="auto"/>
                <w:sz w:val="24"/>
                <w:szCs w:val="22"/>
              </w:rPr>
              <w:t>&gt;</w:t>
            </w:r>
            <w:r>
              <w:rPr>
                <w:rFonts w:hint="eastAsia"/>
                <w:color w:val="auto"/>
                <w:sz w:val="24"/>
                <w:szCs w:val="22"/>
              </w:rPr>
              <w:t>办法》、《生产建设项目水土保持技术标准》（</w:t>
            </w:r>
            <w:r>
              <w:rPr>
                <w:color w:val="auto"/>
                <w:sz w:val="24"/>
                <w:szCs w:val="22"/>
              </w:rPr>
              <w:t>GB/T50433-2018</w:t>
            </w:r>
            <w:r>
              <w:rPr>
                <w:rFonts w:hint="eastAsia"/>
                <w:color w:val="auto"/>
                <w:sz w:val="24"/>
                <w:szCs w:val="22"/>
              </w:rPr>
              <w:t>）的相关要求，本工程施工过程中不可避免地扰动原地貌、损坏土地和植被，造成一定程度的水土流失，但本工程通过各项水土保持措施的实施，能有效地控制水土流失，达到经济发展和环境建设协调发展。因此，从项目选址、建设方案、水土流失防治等方面本工程不存在水土保持重大制约性因素，项目建设是可行的。水土保持方案实施后，至设计水平年，各项防治指标超过预期的防治目标，项目建设造成的水土流失得到有效治理。</w:t>
            </w:r>
          </w:p>
          <w:p>
            <w:pPr>
              <w:pStyle w:val="36"/>
              <w:spacing w:line="336" w:lineRule="auto"/>
              <w:ind w:left="0" w:leftChars="0" w:firstLine="522" w:firstLineChars="200"/>
              <w:rPr>
                <w:b/>
                <w:bCs w:val="0"/>
                <w:color w:val="auto"/>
                <w:sz w:val="24"/>
                <w:szCs w:val="22"/>
                <w:highlight w:val="none"/>
              </w:rPr>
            </w:pPr>
            <w:r>
              <w:rPr>
                <w:b/>
                <w:bCs w:val="0"/>
                <w:color w:val="auto"/>
                <w:spacing w:val="10"/>
                <w:sz w:val="24"/>
                <w:highlight w:val="none"/>
              </w:rPr>
              <w:t>2、</w:t>
            </w:r>
            <w:r>
              <w:rPr>
                <w:b/>
                <w:bCs w:val="0"/>
                <w:color w:val="auto"/>
                <w:sz w:val="24"/>
                <w:szCs w:val="22"/>
                <w:highlight w:val="none"/>
              </w:rPr>
              <w:t>环境监测计划与环保竣工“三同时”验收</w:t>
            </w:r>
          </w:p>
          <w:p>
            <w:pPr>
              <w:pStyle w:val="36"/>
              <w:spacing w:line="336" w:lineRule="auto"/>
              <w:rPr>
                <w:b/>
                <w:bCs/>
                <w:color w:val="auto"/>
                <w:sz w:val="24"/>
                <w:szCs w:val="24"/>
                <w:highlight w:val="none"/>
              </w:rPr>
            </w:pPr>
            <w:r>
              <w:rPr>
                <w:rFonts w:hint="eastAsia" w:ascii="宋体" w:hAnsi="宋体" w:cs="宋体"/>
                <w:b/>
                <w:bCs/>
                <w:color w:val="auto"/>
                <w:sz w:val="24"/>
                <w:szCs w:val="24"/>
                <w:highlight w:val="none"/>
                <w:lang w:val="en-US" w:eastAsia="zh-CN"/>
              </w:rPr>
              <w:t>2.1</w:t>
            </w:r>
            <w:r>
              <w:rPr>
                <w:b/>
                <w:bCs/>
                <w:color w:val="auto"/>
                <w:sz w:val="24"/>
                <w:szCs w:val="24"/>
                <w:highlight w:val="none"/>
              </w:rPr>
              <w:t>环境管理</w:t>
            </w:r>
          </w:p>
          <w:p>
            <w:pPr>
              <w:pStyle w:val="36"/>
              <w:spacing w:line="360" w:lineRule="auto"/>
              <w:rPr>
                <w:color w:val="auto"/>
                <w:sz w:val="24"/>
                <w:szCs w:val="22"/>
                <w:highlight w:val="none"/>
              </w:rPr>
            </w:pPr>
            <w:r>
              <w:rPr>
                <w:color w:val="auto"/>
                <w:sz w:val="24"/>
                <w:szCs w:val="22"/>
                <w:highlight w:val="none"/>
              </w:rPr>
              <w:t>建设项目环境保护管理是指工程在建设期和运行期必须遵守国家、省、自治区、市的有关环境保护法律、法规、政策与标准，接受地方环境保护主管部门的监督、调整和制订环境规划保护目标，协调同有关部门的关系以及一切与改善环境有关的管理活动。其总体指导原则为：</w:t>
            </w:r>
          </w:p>
          <w:p>
            <w:pPr>
              <w:pStyle w:val="36"/>
              <w:spacing w:line="360" w:lineRule="auto"/>
              <w:rPr>
                <w:color w:val="auto"/>
                <w:sz w:val="24"/>
                <w:szCs w:val="22"/>
                <w:highlight w:val="none"/>
              </w:rPr>
            </w:pPr>
            <w:r>
              <w:rPr>
                <w:color w:val="auto"/>
                <w:sz w:val="24"/>
                <w:highlight w:val="none"/>
              </w:rPr>
              <w:fldChar w:fldCharType="begin"/>
            </w:r>
            <w:r>
              <w:rPr>
                <w:color w:val="auto"/>
                <w:sz w:val="24"/>
                <w:highlight w:val="none"/>
              </w:rPr>
              <w:instrText xml:space="preserve"> = 1 \* GB3 \* MERGEFORMAT </w:instrText>
            </w:r>
            <w:r>
              <w:rPr>
                <w:color w:val="auto"/>
                <w:sz w:val="24"/>
                <w:highlight w:val="none"/>
              </w:rPr>
              <w:fldChar w:fldCharType="separate"/>
            </w:r>
            <w:r>
              <w:rPr>
                <w:rFonts w:hint="eastAsia" w:ascii="宋体" w:hAnsi="宋体" w:cs="宋体"/>
                <w:color w:val="auto"/>
                <w:sz w:val="24"/>
                <w:highlight w:val="none"/>
              </w:rPr>
              <w:t>①</w:t>
            </w:r>
            <w:r>
              <w:rPr>
                <w:color w:val="auto"/>
                <w:sz w:val="24"/>
                <w:highlight w:val="none"/>
              </w:rPr>
              <w:fldChar w:fldCharType="end"/>
            </w:r>
            <w:r>
              <w:rPr>
                <w:color w:val="auto"/>
                <w:sz w:val="24"/>
                <w:szCs w:val="22"/>
                <w:highlight w:val="none"/>
              </w:rPr>
              <w:t>项目的设计应得到充分论证，使项目实施后尽可能地避免或减少在工程建设和运行中对环境带来的不利影响。当这种影响不可避免时，应采取技术经济可行的工程措施加以减缓，并与主体工程同时施工。</w:t>
            </w:r>
          </w:p>
          <w:p>
            <w:pPr>
              <w:pStyle w:val="36"/>
              <w:spacing w:line="360" w:lineRule="auto"/>
              <w:rPr>
                <w:color w:val="auto"/>
                <w:sz w:val="24"/>
                <w:szCs w:val="22"/>
                <w:highlight w:val="none"/>
              </w:rPr>
            </w:pPr>
            <w:r>
              <w:rPr>
                <w:rFonts w:hint="eastAsia" w:ascii="宋体" w:hAnsi="宋体" w:cs="宋体"/>
                <w:color w:val="auto"/>
                <w:sz w:val="24"/>
                <w:szCs w:val="22"/>
                <w:highlight w:val="none"/>
              </w:rPr>
              <w:t>②</w:t>
            </w:r>
            <w:r>
              <w:rPr>
                <w:color w:val="auto"/>
                <w:sz w:val="24"/>
                <w:szCs w:val="22"/>
                <w:highlight w:val="none"/>
              </w:rPr>
              <w:t>项目不利影响的防治，应由一系列具体的措施和环境管理计划组成，这些措施和计划用来消除、抵消或减少施工和运行期间的不利于环境的影响。</w:t>
            </w:r>
          </w:p>
          <w:p>
            <w:pPr>
              <w:pStyle w:val="36"/>
              <w:spacing w:line="360" w:lineRule="auto"/>
              <w:rPr>
                <w:color w:val="auto"/>
                <w:sz w:val="24"/>
                <w:szCs w:val="22"/>
                <w:highlight w:val="none"/>
              </w:rPr>
            </w:pPr>
            <w:r>
              <w:rPr>
                <w:rFonts w:hint="eastAsia" w:ascii="宋体" w:hAnsi="宋体" w:cs="宋体"/>
                <w:color w:val="auto"/>
                <w:sz w:val="24"/>
                <w:szCs w:val="22"/>
                <w:highlight w:val="none"/>
              </w:rPr>
              <w:t>③</w:t>
            </w:r>
            <w:r>
              <w:rPr>
                <w:color w:val="auto"/>
                <w:sz w:val="24"/>
                <w:szCs w:val="22"/>
                <w:highlight w:val="none"/>
              </w:rPr>
              <w:t>环境保护措施应包括施工期和运行后的保护措施，并对常规情况和突发情况分别提出不同的保护措施和挽回不利影响的方法。</w:t>
            </w:r>
          </w:p>
          <w:p>
            <w:pPr>
              <w:pStyle w:val="36"/>
              <w:spacing w:line="360" w:lineRule="auto"/>
              <w:rPr>
                <w:color w:val="auto"/>
                <w:sz w:val="24"/>
                <w:szCs w:val="22"/>
                <w:highlight w:val="none"/>
              </w:rPr>
            </w:pPr>
            <w:r>
              <w:rPr>
                <w:rFonts w:hint="eastAsia" w:ascii="宋体" w:hAnsi="宋体" w:cs="宋体"/>
                <w:color w:val="auto"/>
                <w:sz w:val="24"/>
                <w:szCs w:val="22"/>
                <w:highlight w:val="none"/>
              </w:rPr>
              <w:t>④</w:t>
            </w:r>
            <w:r>
              <w:rPr>
                <w:color w:val="auto"/>
                <w:sz w:val="24"/>
                <w:szCs w:val="22"/>
                <w:highlight w:val="none"/>
              </w:rPr>
              <w:t>环境管理计划应定出机构上的安排以及执行各种防治措施的职责、实施进度、监测内容和报告程序以及资金投入和来源等内容。</w:t>
            </w:r>
          </w:p>
          <w:p>
            <w:pPr>
              <w:pStyle w:val="36"/>
              <w:spacing w:line="360" w:lineRule="auto"/>
              <w:rPr>
                <w:color w:val="auto"/>
                <w:sz w:val="24"/>
                <w:szCs w:val="22"/>
                <w:highlight w:val="none"/>
              </w:rPr>
            </w:pPr>
            <w:r>
              <w:rPr>
                <w:color w:val="auto"/>
                <w:sz w:val="24"/>
                <w:szCs w:val="22"/>
                <w:highlight w:val="none"/>
              </w:rPr>
              <w:t>本环评就项目施工期环境管理提出如下要求：</w:t>
            </w:r>
          </w:p>
          <w:p>
            <w:pPr>
              <w:pStyle w:val="36"/>
              <w:spacing w:line="360" w:lineRule="auto"/>
              <w:rPr>
                <w:color w:val="auto"/>
                <w:sz w:val="24"/>
                <w:szCs w:val="22"/>
                <w:highlight w:val="none"/>
              </w:rPr>
            </w:pPr>
            <w:r>
              <w:rPr>
                <w:color w:val="auto"/>
                <w:sz w:val="24"/>
                <w:highlight w:val="none"/>
              </w:rPr>
              <w:fldChar w:fldCharType="begin"/>
            </w:r>
            <w:r>
              <w:rPr>
                <w:color w:val="auto"/>
                <w:sz w:val="24"/>
                <w:highlight w:val="none"/>
              </w:rPr>
              <w:instrText xml:space="preserve"> = 1 \* GB3 \* MERGEFORMAT </w:instrText>
            </w:r>
            <w:r>
              <w:rPr>
                <w:color w:val="auto"/>
                <w:sz w:val="24"/>
                <w:highlight w:val="none"/>
              </w:rPr>
              <w:fldChar w:fldCharType="separate"/>
            </w:r>
            <w:r>
              <w:rPr>
                <w:rFonts w:hint="eastAsia" w:ascii="宋体" w:hAnsi="宋体" w:cs="宋体"/>
                <w:color w:val="auto"/>
                <w:sz w:val="24"/>
                <w:highlight w:val="none"/>
              </w:rPr>
              <w:t>①</w:t>
            </w:r>
            <w:r>
              <w:rPr>
                <w:color w:val="auto"/>
                <w:sz w:val="24"/>
                <w:highlight w:val="none"/>
              </w:rPr>
              <w:fldChar w:fldCharType="end"/>
            </w:r>
            <w:r>
              <w:rPr>
                <w:color w:val="auto"/>
                <w:sz w:val="24"/>
                <w:szCs w:val="22"/>
                <w:highlight w:val="none"/>
              </w:rPr>
              <w:t>建设单位与施工单位签订项目承包合同中，应包括有关项目施工期间环境保护条款，包括项目施工中生态环境保护</w:t>
            </w:r>
            <w:r>
              <w:rPr>
                <w:rFonts w:hint="eastAsia"/>
                <w:color w:val="auto"/>
                <w:sz w:val="24"/>
                <w:szCs w:val="22"/>
                <w:highlight w:val="none"/>
                <w:lang w:eastAsia="zh-CN"/>
              </w:rPr>
              <w:t>（</w:t>
            </w:r>
            <w:r>
              <w:rPr>
                <w:color w:val="auto"/>
                <w:sz w:val="24"/>
                <w:szCs w:val="22"/>
                <w:highlight w:val="none"/>
              </w:rPr>
              <w:t>水土保持</w:t>
            </w:r>
            <w:r>
              <w:rPr>
                <w:rFonts w:hint="eastAsia"/>
                <w:color w:val="auto"/>
                <w:sz w:val="24"/>
                <w:szCs w:val="22"/>
                <w:highlight w:val="none"/>
                <w:lang w:eastAsia="zh-CN"/>
              </w:rPr>
              <w:t>）</w:t>
            </w:r>
            <w:r>
              <w:rPr>
                <w:color w:val="auto"/>
                <w:sz w:val="24"/>
                <w:szCs w:val="22"/>
                <w:highlight w:val="none"/>
              </w:rPr>
              <w:t>、施工期间环境污染控制、污染物排放管理、施工人员环保教育及相关奖惩条款。</w:t>
            </w:r>
          </w:p>
          <w:p>
            <w:pPr>
              <w:pStyle w:val="36"/>
              <w:spacing w:line="360" w:lineRule="auto"/>
              <w:rPr>
                <w:color w:val="auto"/>
                <w:sz w:val="24"/>
                <w:szCs w:val="22"/>
                <w:highlight w:val="none"/>
              </w:rPr>
            </w:pPr>
            <w:r>
              <w:rPr>
                <w:rFonts w:hint="eastAsia" w:ascii="宋体" w:hAnsi="宋体" w:cs="宋体"/>
                <w:color w:val="auto"/>
                <w:sz w:val="24"/>
                <w:szCs w:val="22"/>
                <w:highlight w:val="none"/>
              </w:rPr>
              <w:t>②</w:t>
            </w:r>
            <w:r>
              <w:rPr>
                <w:color w:val="auto"/>
                <w:sz w:val="24"/>
                <w:szCs w:val="22"/>
                <w:highlight w:val="none"/>
              </w:rPr>
              <w:t>施工单位应提高环保意识，加强驻地和施工现场的环境管理，合理安排施工计划，切实做到组织计划严谨，文明施工。</w:t>
            </w:r>
          </w:p>
          <w:p>
            <w:pPr>
              <w:pStyle w:val="36"/>
              <w:spacing w:line="360" w:lineRule="auto"/>
              <w:rPr>
                <w:color w:val="auto"/>
                <w:sz w:val="24"/>
                <w:szCs w:val="22"/>
                <w:highlight w:val="none"/>
              </w:rPr>
            </w:pPr>
            <w:r>
              <w:rPr>
                <w:rFonts w:hint="eastAsia" w:ascii="宋体" w:hAnsi="宋体" w:cs="宋体"/>
                <w:color w:val="auto"/>
                <w:sz w:val="24"/>
                <w:szCs w:val="22"/>
                <w:highlight w:val="none"/>
              </w:rPr>
              <w:t>③</w:t>
            </w:r>
            <w:r>
              <w:rPr>
                <w:color w:val="auto"/>
                <w:sz w:val="24"/>
                <w:szCs w:val="22"/>
                <w:highlight w:val="none"/>
              </w:rPr>
              <w:t>施工单位应特别注意项目施工水土保持，尽可能保护好</w:t>
            </w:r>
            <w:r>
              <w:rPr>
                <w:rFonts w:hint="eastAsia"/>
                <w:color w:val="auto"/>
                <w:sz w:val="24"/>
                <w:szCs w:val="22"/>
                <w:highlight w:val="none"/>
                <w:lang w:eastAsia="zh-CN"/>
              </w:rPr>
              <w:t>施工作业区</w:t>
            </w:r>
            <w:r>
              <w:rPr>
                <w:color w:val="auto"/>
                <w:sz w:val="24"/>
                <w:szCs w:val="22"/>
                <w:highlight w:val="none"/>
              </w:rPr>
              <w:t>土壤植被。</w:t>
            </w:r>
          </w:p>
          <w:p>
            <w:pPr>
              <w:pStyle w:val="36"/>
              <w:spacing w:line="360" w:lineRule="auto"/>
              <w:rPr>
                <w:color w:val="auto"/>
                <w:sz w:val="24"/>
                <w:szCs w:val="22"/>
                <w:highlight w:val="none"/>
              </w:rPr>
            </w:pPr>
            <w:r>
              <w:rPr>
                <w:rFonts w:hint="eastAsia" w:ascii="宋体" w:hAnsi="宋体" w:cs="宋体"/>
                <w:color w:val="auto"/>
                <w:sz w:val="24"/>
                <w:szCs w:val="22"/>
                <w:highlight w:val="none"/>
              </w:rPr>
              <w:t>④</w:t>
            </w:r>
            <w:r>
              <w:rPr>
                <w:color w:val="auto"/>
                <w:sz w:val="24"/>
                <w:szCs w:val="22"/>
                <w:highlight w:val="none"/>
              </w:rPr>
              <w:t>各施工现场、施工单位驻地及其它施工临时设施，应加强环境管理，施工场地采取降尘措施，项目施工完毕后由施工单位及时清理和恢复施工现场，妥善处理生活垃圾与挖填方，减少扬尘；施工现场应执行《建筑施工场界环境噪声排放标准》</w:t>
            </w:r>
            <w:r>
              <w:rPr>
                <w:rFonts w:hint="eastAsia"/>
                <w:color w:val="auto"/>
                <w:sz w:val="24"/>
                <w:szCs w:val="22"/>
                <w:highlight w:val="none"/>
                <w:lang w:eastAsia="zh-CN"/>
              </w:rPr>
              <w:t>（</w:t>
            </w:r>
            <w:r>
              <w:rPr>
                <w:color w:val="auto"/>
                <w:sz w:val="24"/>
                <w:szCs w:val="22"/>
                <w:highlight w:val="none"/>
              </w:rPr>
              <w:t>GB12523-2011</w:t>
            </w:r>
            <w:r>
              <w:rPr>
                <w:rFonts w:hint="eastAsia"/>
                <w:color w:val="auto"/>
                <w:sz w:val="24"/>
                <w:szCs w:val="22"/>
                <w:highlight w:val="none"/>
                <w:lang w:eastAsia="zh-CN"/>
              </w:rPr>
              <w:t>）</w:t>
            </w:r>
            <w:r>
              <w:rPr>
                <w:color w:val="auto"/>
                <w:sz w:val="24"/>
                <w:szCs w:val="22"/>
                <w:highlight w:val="none"/>
              </w:rPr>
              <w:t>和《建筑施工场界噪声测量方法》</w:t>
            </w:r>
            <w:r>
              <w:rPr>
                <w:rFonts w:hint="eastAsia"/>
                <w:color w:val="auto"/>
                <w:sz w:val="24"/>
                <w:szCs w:val="22"/>
                <w:highlight w:val="none"/>
                <w:lang w:eastAsia="zh-CN"/>
              </w:rPr>
              <w:t>（</w:t>
            </w:r>
            <w:r>
              <w:rPr>
                <w:color w:val="auto"/>
                <w:sz w:val="24"/>
                <w:szCs w:val="22"/>
                <w:highlight w:val="none"/>
              </w:rPr>
              <w:t>GB12524-90</w:t>
            </w:r>
            <w:r>
              <w:rPr>
                <w:rFonts w:hint="eastAsia"/>
                <w:color w:val="auto"/>
                <w:sz w:val="24"/>
                <w:szCs w:val="22"/>
                <w:highlight w:val="none"/>
                <w:lang w:eastAsia="zh-CN"/>
              </w:rPr>
              <w:t>）</w:t>
            </w:r>
            <w:r>
              <w:rPr>
                <w:color w:val="auto"/>
                <w:sz w:val="24"/>
                <w:szCs w:val="22"/>
                <w:highlight w:val="none"/>
              </w:rPr>
              <w:t>中的有关规定和要求。</w:t>
            </w:r>
          </w:p>
          <w:p>
            <w:pPr>
              <w:pStyle w:val="36"/>
              <w:spacing w:line="360" w:lineRule="auto"/>
              <w:rPr>
                <w:b/>
                <w:bCs/>
                <w:color w:val="auto"/>
                <w:highlight w:val="none"/>
              </w:rPr>
            </w:pPr>
            <w:r>
              <w:rPr>
                <w:color w:val="auto"/>
                <w:sz w:val="24"/>
                <w:szCs w:val="22"/>
                <w:highlight w:val="none"/>
              </w:rPr>
              <w:t>施工期环境管理措施见下表。</w:t>
            </w:r>
          </w:p>
          <w:p>
            <w:pPr>
              <w:ind w:firstLine="964" w:firstLineChars="400"/>
              <w:rPr>
                <w:b/>
                <w:bCs/>
                <w:color w:val="auto"/>
                <w:sz w:val="24"/>
                <w:szCs w:val="24"/>
                <w:highlight w:val="none"/>
              </w:rPr>
            </w:pPr>
            <w:r>
              <w:rPr>
                <w:b/>
                <w:bCs/>
                <w:color w:val="auto"/>
                <w:sz w:val="24"/>
                <w:szCs w:val="24"/>
                <w:highlight w:val="none"/>
              </w:rPr>
              <w:t>表</w:t>
            </w:r>
            <w:r>
              <w:rPr>
                <w:rFonts w:hint="eastAsia"/>
                <w:b/>
                <w:bCs/>
                <w:color w:val="auto"/>
                <w:sz w:val="24"/>
                <w:szCs w:val="24"/>
                <w:highlight w:val="none"/>
                <w:lang w:val="en-US" w:eastAsia="zh-CN"/>
              </w:rPr>
              <w:t>5-9</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b/>
                <w:bCs/>
                <w:color w:val="auto"/>
                <w:sz w:val="24"/>
                <w:szCs w:val="24"/>
                <w:highlight w:val="none"/>
              </w:rPr>
              <w:t xml:space="preserve"> 施工期环境管理措施一览表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89"/>
              <w:gridCol w:w="74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77" w:type="pct"/>
                  <w:tcBorders>
                    <w:tl2br w:val="nil"/>
                    <w:tr2bl w:val="nil"/>
                  </w:tcBorders>
                  <w:noWrap w:val="0"/>
                  <w:vAlign w:val="center"/>
                </w:tcPr>
                <w:p>
                  <w:pPr>
                    <w:jc w:val="center"/>
                    <w:rPr>
                      <w:b/>
                      <w:bCs/>
                      <w:color w:val="auto"/>
                      <w:highlight w:val="none"/>
                    </w:rPr>
                  </w:pPr>
                  <w:r>
                    <w:rPr>
                      <w:b/>
                      <w:bCs/>
                      <w:color w:val="auto"/>
                      <w:highlight w:val="none"/>
                    </w:rPr>
                    <w:t>序号</w:t>
                  </w:r>
                </w:p>
              </w:tc>
              <w:tc>
                <w:tcPr>
                  <w:tcW w:w="4522" w:type="pct"/>
                  <w:tcBorders>
                    <w:tl2br w:val="nil"/>
                    <w:tr2bl w:val="nil"/>
                  </w:tcBorders>
                  <w:noWrap w:val="0"/>
                  <w:vAlign w:val="center"/>
                </w:tcPr>
                <w:p>
                  <w:pPr>
                    <w:jc w:val="center"/>
                    <w:rPr>
                      <w:b/>
                      <w:bCs/>
                      <w:color w:val="auto"/>
                      <w:highlight w:val="none"/>
                    </w:rPr>
                  </w:pPr>
                  <w:r>
                    <w:rPr>
                      <w:b/>
                      <w:bCs/>
                      <w:color w:val="auto"/>
                      <w:highlight w:val="none"/>
                    </w:rPr>
                    <w:t>拟采取管理措施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77" w:type="pct"/>
                  <w:tcBorders>
                    <w:tl2br w:val="nil"/>
                    <w:tr2bl w:val="nil"/>
                  </w:tcBorders>
                  <w:noWrap w:val="0"/>
                  <w:vAlign w:val="center"/>
                </w:tcPr>
                <w:p>
                  <w:pPr>
                    <w:jc w:val="center"/>
                    <w:rPr>
                      <w:color w:val="auto"/>
                      <w:highlight w:val="none"/>
                    </w:rPr>
                  </w:pPr>
                  <w:r>
                    <w:rPr>
                      <w:color w:val="auto"/>
                      <w:highlight w:val="none"/>
                    </w:rPr>
                    <w:t>1</w:t>
                  </w:r>
                </w:p>
              </w:tc>
              <w:tc>
                <w:tcPr>
                  <w:tcW w:w="4522" w:type="pct"/>
                  <w:tcBorders>
                    <w:tl2br w:val="nil"/>
                    <w:tr2bl w:val="nil"/>
                  </w:tcBorders>
                  <w:noWrap w:val="0"/>
                  <w:vAlign w:val="center"/>
                </w:tcPr>
                <w:p>
                  <w:pPr>
                    <w:jc w:val="center"/>
                    <w:rPr>
                      <w:color w:val="auto"/>
                      <w:highlight w:val="none"/>
                    </w:rPr>
                  </w:pPr>
                  <w:r>
                    <w:rPr>
                      <w:color w:val="auto"/>
                      <w:highlight w:val="none"/>
                    </w:rPr>
                    <w:t>审查施工单位现场管理机构的环境管理体系，检查环境污染防治措施是否落实，评价施工单位是否具备开工条件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77" w:type="pct"/>
                  <w:tcBorders>
                    <w:tl2br w:val="nil"/>
                    <w:tr2bl w:val="nil"/>
                  </w:tcBorders>
                  <w:noWrap w:val="0"/>
                  <w:vAlign w:val="center"/>
                </w:tcPr>
                <w:p>
                  <w:pPr>
                    <w:jc w:val="center"/>
                    <w:rPr>
                      <w:color w:val="auto"/>
                      <w:highlight w:val="none"/>
                    </w:rPr>
                  </w:pPr>
                  <w:r>
                    <w:rPr>
                      <w:color w:val="auto"/>
                      <w:highlight w:val="none"/>
                    </w:rPr>
                    <w:t>2</w:t>
                  </w:r>
                </w:p>
              </w:tc>
              <w:tc>
                <w:tcPr>
                  <w:tcW w:w="4522" w:type="pct"/>
                  <w:tcBorders>
                    <w:tl2br w:val="nil"/>
                    <w:tr2bl w:val="nil"/>
                  </w:tcBorders>
                  <w:noWrap w:val="0"/>
                  <w:vAlign w:val="center"/>
                </w:tcPr>
                <w:p>
                  <w:pPr>
                    <w:jc w:val="center"/>
                    <w:rPr>
                      <w:color w:val="auto"/>
                      <w:highlight w:val="none"/>
                    </w:rPr>
                  </w:pPr>
                  <w:r>
                    <w:rPr>
                      <w:color w:val="auto"/>
                      <w:highlight w:val="none"/>
                    </w:rPr>
                    <w:t>对施工过程中防治水、气、声、振动污染及生态破坏的工程设施和管理措施进行巡视、检查和旁站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77" w:type="pct"/>
                  <w:tcBorders>
                    <w:tl2br w:val="nil"/>
                    <w:tr2bl w:val="nil"/>
                  </w:tcBorders>
                  <w:noWrap w:val="0"/>
                  <w:vAlign w:val="center"/>
                </w:tcPr>
                <w:p>
                  <w:pPr>
                    <w:jc w:val="center"/>
                    <w:rPr>
                      <w:color w:val="auto"/>
                      <w:highlight w:val="none"/>
                    </w:rPr>
                  </w:pPr>
                  <w:r>
                    <w:rPr>
                      <w:color w:val="auto"/>
                      <w:highlight w:val="none"/>
                    </w:rPr>
                    <w:t>3</w:t>
                  </w:r>
                </w:p>
              </w:tc>
              <w:tc>
                <w:tcPr>
                  <w:tcW w:w="4522" w:type="pct"/>
                  <w:tcBorders>
                    <w:tl2br w:val="nil"/>
                    <w:tr2bl w:val="nil"/>
                  </w:tcBorders>
                  <w:noWrap w:val="0"/>
                  <w:vAlign w:val="center"/>
                </w:tcPr>
                <w:p>
                  <w:pPr>
                    <w:jc w:val="center"/>
                    <w:rPr>
                      <w:color w:val="auto"/>
                      <w:highlight w:val="none"/>
                    </w:rPr>
                  </w:pPr>
                  <w:r>
                    <w:rPr>
                      <w:color w:val="auto"/>
                      <w:kern w:val="0"/>
                      <w:highlight w:val="none"/>
                    </w:rPr>
                    <w:t>落实项目区土石方去向及产生扬尘的治理措施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77" w:type="pct"/>
                  <w:tcBorders>
                    <w:tl2br w:val="nil"/>
                    <w:tr2bl w:val="nil"/>
                  </w:tcBorders>
                  <w:noWrap w:val="0"/>
                  <w:vAlign w:val="center"/>
                </w:tcPr>
                <w:p>
                  <w:pPr>
                    <w:jc w:val="center"/>
                    <w:rPr>
                      <w:color w:val="auto"/>
                      <w:highlight w:val="none"/>
                    </w:rPr>
                  </w:pPr>
                  <w:r>
                    <w:rPr>
                      <w:color w:val="auto"/>
                      <w:highlight w:val="none"/>
                    </w:rPr>
                    <w:t>4</w:t>
                  </w:r>
                </w:p>
              </w:tc>
              <w:tc>
                <w:tcPr>
                  <w:tcW w:w="4522" w:type="pct"/>
                  <w:tcBorders>
                    <w:tl2br w:val="nil"/>
                    <w:tr2bl w:val="nil"/>
                  </w:tcBorders>
                  <w:noWrap w:val="0"/>
                  <w:vAlign w:val="center"/>
                </w:tcPr>
                <w:p>
                  <w:pPr>
                    <w:jc w:val="center"/>
                    <w:rPr>
                      <w:color w:val="auto"/>
                      <w:kern w:val="0"/>
                      <w:highlight w:val="none"/>
                    </w:rPr>
                  </w:pPr>
                  <w:r>
                    <w:rPr>
                      <w:color w:val="auto"/>
                      <w:kern w:val="0"/>
                      <w:highlight w:val="none"/>
                    </w:rPr>
                    <w:t>落实项目施工期造成植被破坏等生态补偿、恢复措施</w:t>
                  </w:r>
                </w:p>
              </w:tc>
            </w:tr>
          </w:tbl>
          <w:p>
            <w:pPr>
              <w:pStyle w:val="36"/>
              <w:spacing w:line="336" w:lineRule="auto"/>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2.2</w:t>
            </w:r>
            <w:r>
              <w:rPr>
                <w:rFonts w:hint="eastAsia" w:ascii="宋体" w:hAnsi="宋体" w:cs="宋体"/>
                <w:b/>
                <w:bCs/>
                <w:color w:val="auto"/>
                <w:sz w:val="24"/>
                <w:szCs w:val="24"/>
                <w:highlight w:val="none"/>
                <w:lang w:eastAsia="zh-CN"/>
              </w:rPr>
              <w:t>环境监测</w:t>
            </w:r>
          </w:p>
          <w:p>
            <w:pPr>
              <w:pStyle w:val="36"/>
              <w:spacing w:line="336" w:lineRule="auto"/>
              <w:rPr>
                <w:color w:val="auto"/>
                <w:sz w:val="24"/>
                <w:szCs w:val="22"/>
                <w:highlight w:val="none"/>
              </w:rPr>
            </w:pPr>
            <w:r>
              <w:rPr>
                <w:rFonts w:hint="eastAsia"/>
                <w:color w:val="auto"/>
                <w:sz w:val="24"/>
                <w:szCs w:val="22"/>
                <w:highlight w:val="none"/>
                <w:lang w:eastAsia="zh-CN"/>
              </w:rPr>
              <w:t>本工程环境监测内容主要是地下水环境监测，</w:t>
            </w:r>
            <w:r>
              <w:rPr>
                <w:color w:val="auto"/>
                <w:sz w:val="24"/>
                <w:szCs w:val="22"/>
                <w:highlight w:val="none"/>
              </w:rPr>
              <w:t>环境监测由业主委托当地有资质的机构完成。</w:t>
            </w:r>
          </w:p>
          <w:p>
            <w:pPr>
              <w:pStyle w:val="36"/>
              <w:spacing w:line="336" w:lineRule="auto"/>
              <w:rPr>
                <w:color w:val="auto"/>
                <w:sz w:val="24"/>
                <w:szCs w:val="22"/>
                <w:highlight w:val="none"/>
              </w:rPr>
            </w:pPr>
            <w:r>
              <w:rPr>
                <w:rFonts w:hint="eastAsia"/>
                <w:color w:val="auto"/>
                <w:sz w:val="24"/>
                <w:szCs w:val="22"/>
                <w:highlight w:val="none"/>
                <w:lang w:eastAsia="zh-CN"/>
              </w:rPr>
              <w:t>①</w:t>
            </w:r>
            <w:r>
              <w:rPr>
                <w:color w:val="auto"/>
                <w:sz w:val="24"/>
                <w:szCs w:val="22"/>
                <w:highlight w:val="none"/>
              </w:rPr>
              <w:t>测监测点位：</w:t>
            </w:r>
            <w:r>
              <w:rPr>
                <w:rFonts w:hint="eastAsia"/>
                <w:color w:val="auto"/>
                <w:sz w:val="24"/>
                <w:szCs w:val="22"/>
                <w:highlight w:val="none"/>
                <w:lang w:val="en-US" w:eastAsia="zh-CN"/>
              </w:rPr>
              <w:t>2口地下水监测井处；</w:t>
            </w:r>
          </w:p>
          <w:p>
            <w:pPr>
              <w:pStyle w:val="36"/>
              <w:spacing w:line="336" w:lineRule="auto"/>
              <w:rPr>
                <w:rFonts w:hint="eastAsia"/>
                <w:color w:val="auto"/>
                <w:sz w:val="24"/>
                <w:szCs w:val="22"/>
                <w:highlight w:val="none"/>
              </w:rPr>
            </w:pPr>
            <w:r>
              <w:rPr>
                <w:rFonts w:hint="eastAsia"/>
                <w:color w:val="auto"/>
                <w:sz w:val="24"/>
                <w:szCs w:val="22"/>
                <w:highlight w:val="none"/>
                <w:lang w:eastAsia="zh-CN"/>
              </w:rPr>
              <w:t>②</w:t>
            </w:r>
            <w:r>
              <w:rPr>
                <w:color w:val="auto"/>
                <w:sz w:val="24"/>
                <w:szCs w:val="22"/>
                <w:highlight w:val="none"/>
              </w:rPr>
              <w:t>监测因子：</w:t>
            </w:r>
            <w:r>
              <w:rPr>
                <w:rFonts w:hint="eastAsia"/>
                <w:color w:val="auto"/>
                <w:sz w:val="24"/>
                <w:szCs w:val="22"/>
                <w:highlight w:val="none"/>
              </w:rPr>
              <w:t>pH、氨氮、硝酸盐氮、亚硝酸盐氮、挥发酚、氰化物、砷、汞、镉、铬(六价)、总硬度、铅、氟化物、铁、锰、耗氧量、溶解性总固体、硫酸盐、氯化物、K</w:t>
            </w:r>
            <w:r>
              <w:rPr>
                <w:rFonts w:hint="eastAsia"/>
                <w:color w:val="auto"/>
                <w:sz w:val="24"/>
                <w:szCs w:val="22"/>
                <w:highlight w:val="none"/>
                <w:vertAlign w:val="superscript"/>
              </w:rPr>
              <w:t>+</w:t>
            </w:r>
            <w:r>
              <w:rPr>
                <w:rFonts w:hint="eastAsia"/>
                <w:color w:val="auto"/>
                <w:sz w:val="24"/>
                <w:szCs w:val="22"/>
                <w:highlight w:val="none"/>
              </w:rPr>
              <w:t>、Na</w:t>
            </w:r>
            <w:r>
              <w:rPr>
                <w:rFonts w:hint="eastAsia"/>
                <w:color w:val="auto"/>
                <w:sz w:val="24"/>
                <w:szCs w:val="22"/>
                <w:highlight w:val="none"/>
                <w:vertAlign w:val="superscript"/>
              </w:rPr>
              <w:t>+</w:t>
            </w:r>
            <w:r>
              <w:rPr>
                <w:rFonts w:hint="eastAsia"/>
                <w:color w:val="auto"/>
                <w:sz w:val="24"/>
                <w:szCs w:val="22"/>
                <w:highlight w:val="none"/>
              </w:rPr>
              <w:t>、Ca</w:t>
            </w:r>
            <w:r>
              <w:rPr>
                <w:rFonts w:hint="eastAsia"/>
                <w:color w:val="auto"/>
                <w:sz w:val="24"/>
                <w:szCs w:val="22"/>
                <w:highlight w:val="none"/>
                <w:vertAlign w:val="superscript"/>
              </w:rPr>
              <w:t>2+</w:t>
            </w:r>
            <w:r>
              <w:rPr>
                <w:rFonts w:hint="eastAsia"/>
                <w:color w:val="auto"/>
                <w:sz w:val="24"/>
                <w:szCs w:val="22"/>
                <w:highlight w:val="none"/>
              </w:rPr>
              <w:t>、Mg</w:t>
            </w:r>
            <w:r>
              <w:rPr>
                <w:rFonts w:hint="eastAsia"/>
                <w:color w:val="auto"/>
                <w:sz w:val="24"/>
                <w:szCs w:val="22"/>
                <w:highlight w:val="none"/>
                <w:vertAlign w:val="superscript"/>
              </w:rPr>
              <w:t>2+</w:t>
            </w:r>
            <w:r>
              <w:rPr>
                <w:rFonts w:hint="eastAsia"/>
                <w:color w:val="auto"/>
                <w:sz w:val="24"/>
                <w:szCs w:val="22"/>
                <w:highlight w:val="none"/>
              </w:rPr>
              <w:t>、CO</w:t>
            </w:r>
            <w:r>
              <w:rPr>
                <w:rFonts w:hint="eastAsia"/>
                <w:color w:val="auto"/>
                <w:sz w:val="24"/>
                <w:szCs w:val="22"/>
                <w:highlight w:val="none"/>
                <w:vertAlign w:val="subscript"/>
              </w:rPr>
              <w:t>3</w:t>
            </w:r>
            <w:r>
              <w:rPr>
                <w:rFonts w:hint="eastAsia"/>
                <w:color w:val="auto"/>
                <w:sz w:val="24"/>
                <w:szCs w:val="22"/>
                <w:highlight w:val="none"/>
                <w:vertAlign w:val="superscript"/>
              </w:rPr>
              <w:t>2-</w:t>
            </w:r>
            <w:r>
              <w:rPr>
                <w:rFonts w:hint="eastAsia"/>
                <w:color w:val="auto"/>
                <w:sz w:val="24"/>
                <w:szCs w:val="22"/>
                <w:highlight w:val="none"/>
              </w:rPr>
              <w:t>、HCO</w:t>
            </w:r>
            <w:r>
              <w:rPr>
                <w:rFonts w:hint="eastAsia"/>
                <w:color w:val="auto"/>
                <w:sz w:val="24"/>
                <w:szCs w:val="22"/>
                <w:highlight w:val="none"/>
                <w:vertAlign w:val="subscript"/>
              </w:rPr>
              <w:t>3</w:t>
            </w:r>
            <w:r>
              <w:rPr>
                <w:rFonts w:hint="eastAsia"/>
                <w:color w:val="auto"/>
                <w:sz w:val="24"/>
                <w:szCs w:val="22"/>
                <w:highlight w:val="none"/>
                <w:vertAlign w:val="superscript"/>
              </w:rPr>
              <w:t>-</w:t>
            </w:r>
            <w:r>
              <w:rPr>
                <w:rFonts w:hint="eastAsia"/>
                <w:color w:val="auto"/>
                <w:sz w:val="24"/>
                <w:szCs w:val="22"/>
                <w:highlight w:val="none"/>
                <w:lang w:val="en-US" w:eastAsia="zh-CN"/>
              </w:rPr>
              <w:t>；</w:t>
            </w:r>
          </w:p>
          <w:p>
            <w:pPr>
              <w:pStyle w:val="36"/>
              <w:spacing w:line="336" w:lineRule="auto"/>
              <w:rPr>
                <w:rFonts w:hint="eastAsia"/>
                <w:color w:val="auto"/>
                <w:sz w:val="24"/>
                <w:szCs w:val="22"/>
                <w:highlight w:val="none"/>
              </w:rPr>
            </w:pPr>
            <w:r>
              <w:rPr>
                <w:rFonts w:hint="eastAsia"/>
                <w:color w:val="auto"/>
                <w:sz w:val="24"/>
                <w:szCs w:val="22"/>
                <w:highlight w:val="none"/>
                <w:lang w:eastAsia="zh-CN"/>
              </w:rPr>
              <w:t>③</w:t>
            </w:r>
            <w:r>
              <w:rPr>
                <w:color w:val="auto"/>
                <w:sz w:val="24"/>
                <w:szCs w:val="22"/>
                <w:highlight w:val="none"/>
              </w:rPr>
              <w:t>监测频率：</w:t>
            </w:r>
            <w:r>
              <w:rPr>
                <w:rFonts w:hint="eastAsia"/>
                <w:color w:val="auto"/>
                <w:sz w:val="24"/>
                <w:szCs w:val="22"/>
                <w:highlight w:val="none"/>
              </w:rPr>
              <w:t>每年枯水期、平水期和丰水期各监测一次</w:t>
            </w:r>
            <w:r>
              <w:rPr>
                <w:rFonts w:hint="eastAsia"/>
                <w:color w:val="auto"/>
                <w:sz w:val="24"/>
                <w:szCs w:val="22"/>
                <w:highlight w:val="none"/>
                <w:lang w:val="en-US" w:eastAsia="zh-CN"/>
              </w:rPr>
              <w:t>；</w:t>
            </w:r>
          </w:p>
          <w:p>
            <w:pPr>
              <w:pStyle w:val="36"/>
              <w:spacing w:line="336" w:lineRule="auto"/>
              <w:rPr>
                <w:color w:val="auto"/>
                <w:sz w:val="24"/>
                <w:szCs w:val="22"/>
                <w:highlight w:val="none"/>
              </w:rPr>
            </w:pPr>
            <w:r>
              <w:rPr>
                <w:rFonts w:hint="eastAsia"/>
                <w:color w:val="auto"/>
                <w:sz w:val="24"/>
                <w:szCs w:val="22"/>
                <w:highlight w:val="none"/>
                <w:lang w:eastAsia="zh-CN"/>
              </w:rPr>
              <w:t>④</w:t>
            </w:r>
            <w:r>
              <w:rPr>
                <w:color w:val="auto"/>
                <w:sz w:val="24"/>
                <w:szCs w:val="22"/>
                <w:highlight w:val="none"/>
              </w:rPr>
              <w:t>监测方法：按《环境空气质量标准》（GB3095-2012）</w:t>
            </w:r>
            <w:r>
              <w:rPr>
                <w:rFonts w:hint="eastAsia"/>
                <w:color w:val="auto"/>
                <w:sz w:val="24"/>
                <w:szCs w:val="22"/>
                <w:highlight w:val="none"/>
                <w:lang w:val="en-US" w:eastAsia="zh-CN"/>
              </w:rPr>
              <w:t>；</w:t>
            </w:r>
          </w:p>
          <w:p>
            <w:pPr>
              <w:widowControl/>
              <w:adjustRightInd w:val="0"/>
              <w:snapToGrid w:val="0"/>
              <w:spacing w:line="360" w:lineRule="auto"/>
              <w:ind w:firstLine="480" w:firstLineChars="200"/>
              <w:rPr>
                <w:rFonts w:hint="eastAsia" w:ascii="Times New Roman" w:hAnsi="Times New Roman" w:eastAsia="宋体" w:cs="Times New Roman"/>
                <w:color w:val="auto"/>
                <w:kern w:val="0"/>
                <w:sz w:val="24"/>
                <w:szCs w:val="22"/>
                <w:highlight w:val="none"/>
                <w:lang w:val="en-US" w:eastAsia="zh-CN" w:bidi="ar-SA"/>
              </w:rPr>
            </w:pPr>
            <w:r>
              <w:rPr>
                <w:rFonts w:hint="eastAsia" w:cs="Times New Roman"/>
                <w:color w:val="auto"/>
                <w:kern w:val="0"/>
                <w:sz w:val="24"/>
                <w:szCs w:val="22"/>
                <w:highlight w:val="none"/>
                <w:lang w:val="en-US" w:eastAsia="zh-CN" w:bidi="ar-SA"/>
              </w:rPr>
              <w:t>⑤</w:t>
            </w:r>
            <w:r>
              <w:rPr>
                <w:rFonts w:hint="eastAsia" w:ascii="Times New Roman" w:hAnsi="Times New Roman" w:eastAsia="宋体" w:cs="Times New Roman"/>
                <w:color w:val="auto"/>
                <w:kern w:val="0"/>
                <w:sz w:val="24"/>
                <w:szCs w:val="22"/>
                <w:highlight w:val="none"/>
                <w:lang w:val="en-US" w:eastAsia="zh-CN" w:bidi="ar-SA"/>
              </w:rPr>
              <w:t>执行标准：《地下水质量标准》（GB/T14848-2017）Ⅲ类标准</w:t>
            </w:r>
            <w:r>
              <w:rPr>
                <w:rFonts w:hint="eastAsia" w:cs="Times New Roman"/>
                <w:color w:val="auto"/>
                <w:kern w:val="0"/>
                <w:sz w:val="24"/>
                <w:szCs w:val="22"/>
                <w:highlight w:val="none"/>
                <w:lang w:val="en-US" w:eastAsia="zh-CN" w:bidi="ar-SA"/>
              </w:rPr>
              <w:t>。</w:t>
            </w:r>
          </w:p>
          <w:p>
            <w:pPr>
              <w:widowControl/>
              <w:adjustRightInd w:val="0"/>
              <w:snapToGrid w:val="0"/>
              <w:spacing w:line="360" w:lineRule="auto"/>
              <w:ind w:firstLine="482" w:firstLineChars="200"/>
              <w:rPr>
                <w:rFonts w:ascii="Times New Roman" w:hAnsi="Times New Roman" w:eastAsia="宋体" w:cs="Times New Roman"/>
                <w:b/>
                <w:bCs w:val="0"/>
                <w:color w:val="auto"/>
                <w:kern w:val="0"/>
                <w:sz w:val="24"/>
                <w:szCs w:val="22"/>
                <w:highlight w:val="none"/>
                <w:lang w:val="en-US" w:eastAsia="zh-CN" w:bidi="ar-SA"/>
              </w:rPr>
            </w:pPr>
            <w:r>
              <w:rPr>
                <w:rFonts w:hint="eastAsia" w:ascii="Times New Roman" w:hAnsi="Times New Roman" w:eastAsia="宋体" w:cs="Times New Roman"/>
                <w:b/>
                <w:bCs w:val="0"/>
                <w:color w:val="auto"/>
                <w:kern w:val="0"/>
                <w:sz w:val="24"/>
                <w:szCs w:val="22"/>
                <w:highlight w:val="none"/>
                <w:lang w:val="en-US" w:eastAsia="zh-CN" w:bidi="ar-SA"/>
              </w:rPr>
              <w:t>3、</w:t>
            </w:r>
            <w:r>
              <w:rPr>
                <w:rFonts w:ascii="Times New Roman" w:hAnsi="Times New Roman" w:eastAsia="宋体" w:cs="Times New Roman"/>
                <w:b/>
                <w:bCs w:val="0"/>
                <w:color w:val="auto"/>
                <w:kern w:val="0"/>
                <w:sz w:val="24"/>
                <w:szCs w:val="22"/>
                <w:highlight w:val="none"/>
                <w:lang w:val="en-US" w:eastAsia="zh-CN" w:bidi="ar-SA"/>
              </w:rPr>
              <w:t>环保验收“三同时”一览表</w:t>
            </w:r>
          </w:p>
          <w:p>
            <w:pPr>
              <w:widowControl/>
              <w:adjustRightInd w:val="0"/>
              <w:snapToGrid w:val="0"/>
              <w:ind w:firstLine="723" w:firstLineChars="300"/>
              <w:rPr>
                <w:rFonts w:ascii="Times New Roman" w:hAnsi="Times New Roman"/>
                <w:b/>
                <w:bCs/>
                <w:color w:val="auto"/>
                <w:sz w:val="24"/>
                <w:szCs w:val="24"/>
                <w:highlight w:val="none"/>
              </w:rPr>
            </w:pPr>
            <w:r>
              <w:rPr>
                <w:rFonts w:ascii="Times New Roman" w:hAnsi="Times New Roman"/>
                <w:b/>
                <w:bCs/>
                <w:color w:val="auto"/>
                <w:sz w:val="24"/>
                <w:szCs w:val="24"/>
                <w:highlight w:val="none"/>
              </w:rPr>
              <w:t>表</w:t>
            </w:r>
            <w:r>
              <w:rPr>
                <w:rFonts w:hint="eastAsia"/>
                <w:b/>
                <w:bCs/>
                <w:color w:val="auto"/>
                <w:sz w:val="24"/>
                <w:szCs w:val="24"/>
                <w:highlight w:val="none"/>
                <w:lang w:val="en-US" w:eastAsia="zh-CN"/>
              </w:rPr>
              <w:t xml:space="preserve">5-10   </w:t>
            </w:r>
            <w:r>
              <w:rPr>
                <w:rFonts w:hint="eastAsia" w:ascii="Times New Roman" w:hAnsi="Times New Roman" w:eastAsia="宋体"/>
                <w:color w:val="auto"/>
                <w:sz w:val="24"/>
                <w:szCs w:val="24"/>
                <w:highlight w:val="none"/>
                <w:lang w:val="en-US" w:eastAsia="zh-CN"/>
              </w:rPr>
              <w:t xml:space="preserve">   </w:t>
            </w:r>
            <w:r>
              <w:rPr>
                <w:rFonts w:hint="eastAsia"/>
                <w:b/>
                <w:bCs/>
                <w:color w:val="auto"/>
                <w:sz w:val="24"/>
                <w:szCs w:val="24"/>
                <w:highlight w:val="none"/>
                <w:lang w:eastAsia="zh-CN"/>
              </w:rPr>
              <w:t>本工程</w:t>
            </w:r>
            <w:r>
              <w:rPr>
                <w:rFonts w:ascii="Times New Roman" w:hAnsi="Times New Roman"/>
                <w:b/>
                <w:bCs/>
                <w:color w:val="auto"/>
                <w:sz w:val="24"/>
                <w:szCs w:val="24"/>
                <w:highlight w:val="none"/>
              </w:rPr>
              <w:t>“三同时”环保验收一览表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750"/>
              <w:gridCol w:w="1263"/>
              <w:gridCol w:w="3670"/>
              <w:gridCol w:w="19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86" w:type="pct"/>
                  <w:tcBorders>
                    <w:tl2br w:val="nil"/>
                    <w:tr2bl w:val="nil"/>
                  </w:tcBorders>
                  <w:noWrap w:val="0"/>
                  <w:vAlign w:val="center"/>
                </w:tcPr>
                <w:p>
                  <w:pPr>
                    <w:adjustRightInd w:val="0"/>
                    <w:snapToGrid w:val="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453" w:type="pct"/>
                  <w:tcBorders>
                    <w:tl2br w:val="nil"/>
                    <w:tr2bl w:val="nil"/>
                  </w:tcBorders>
                  <w:noWrap w:val="0"/>
                  <w:vAlign w:val="center"/>
                </w:tcPr>
                <w:p>
                  <w:pPr>
                    <w:adjustRightInd w:val="0"/>
                    <w:snapToGrid w:val="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项目</w:t>
                  </w:r>
                </w:p>
              </w:tc>
              <w:tc>
                <w:tcPr>
                  <w:tcW w:w="763" w:type="pct"/>
                  <w:tcBorders>
                    <w:tl2br w:val="nil"/>
                    <w:tr2bl w:val="nil"/>
                  </w:tcBorders>
                  <w:noWrap w:val="0"/>
                  <w:vAlign w:val="center"/>
                </w:tcPr>
                <w:p>
                  <w:pPr>
                    <w:adjustRightInd w:val="0"/>
                    <w:snapToGrid w:val="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对象</w:t>
                  </w:r>
                </w:p>
              </w:tc>
              <w:tc>
                <w:tcPr>
                  <w:tcW w:w="2217" w:type="pct"/>
                  <w:tcBorders>
                    <w:tl2br w:val="nil"/>
                    <w:tr2bl w:val="nil"/>
                  </w:tcBorders>
                  <w:noWrap w:val="0"/>
                  <w:vAlign w:val="center"/>
                </w:tcPr>
                <w:p>
                  <w:pPr>
                    <w:tabs>
                      <w:tab w:val="left" w:pos="775"/>
                      <w:tab w:val="center" w:pos="1970"/>
                    </w:tabs>
                    <w:adjustRightInd w:val="0"/>
                    <w:snapToGrid w:val="0"/>
                    <w:ind w:firstLine="1054" w:firstLineChars="500"/>
                    <w:jc w:val="left"/>
                    <w:rPr>
                      <w:rFonts w:ascii="Times New Roman" w:hAnsi="Times New Roman"/>
                      <w:b/>
                      <w:bCs/>
                      <w:color w:val="auto"/>
                      <w:sz w:val="21"/>
                      <w:szCs w:val="21"/>
                      <w:highlight w:val="none"/>
                    </w:rPr>
                  </w:pPr>
                  <w:r>
                    <w:rPr>
                      <w:rFonts w:ascii="Times New Roman" w:hAnsi="Times New Roman"/>
                      <w:b/>
                      <w:bCs/>
                      <w:color w:val="auto"/>
                      <w:sz w:val="21"/>
                      <w:szCs w:val="21"/>
                      <w:highlight w:val="none"/>
                    </w:rPr>
                    <w:t>处理措施</w:t>
                  </w:r>
                </w:p>
              </w:tc>
              <w:tc>
                <w:tcPr>
                  <w:tcW w:w="1178" w:type="pct"/>
                  <w:tcBorders>
                    <w:tl2br w:val="nil"/>
                    <w:tr2bl w:val="nil"/>
                  </w:tcBorders>
                  <w:noWrap w:val="0"/>
                  <w:vAlign w:val="center"/>
                </w:tcPr>
                <w:p>
                  <w:pPr>
                    <w:adjustRightInd w:val="0"/>
                    <w:snapToGrid w:val="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处理效果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86" w:type="pct"/>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1</w:t>
                  </w:r>
                </w:p>
              </w:tc>
              <w:tc>
                <w:tcPr>
                  <w:tcW w:w="453" w:type="pc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水环境保护</w:t>
                  </w:r>
                </w:p>
              </w:tc>
              <w:tc>
                <w:tcPr>
                  <w:tcW w:w="763" w:type="pc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施工废水</w:t>
                  </w:r>
                </w:p>
              </w:tc>
              <w:tc>
                <w:tcPr>
                  <w:tcW w:w="2217" w:type="pct"/>
                  <w:tcBorders>
                    <w:tl2br w:val="nil"/>
                    <w:tr2bl w:val="nil"/>
                  </w:tcBorders>
                  <w:noWrap w:val="0"/>
                  <w:vAlign w:val="center"/>
                </w:tcPr>
                <w:p>
                  <w:pPr>
                    <w:adjustRightInd w:val="0"/>
                    <w:snapToGrid w:val="0"/>
                    <w:jc w:val="left"/>
                    <w:rPr>
                      <w:rFonts w:hint="eastAsia" w:ascii="Times New Roman" w:hAnsi="Times New Roman" w:eastAsia="宋体"/>
                      <w:color w:val="auto"/>
                      <w:sz w:val="21"/>
                      <w:szCs w:val="21"/>
                      <w:highlight w:val="none"/>
                      <w:lang w:val="en-US" w:eastAsia="zh-CN"/>
                    </w:rPr>
                  </w:pPr>
                  <w:r>
                    <w:rPr>
                      <w:rFonts w:ascii="Times New Roman" w:hAnsi="Times New Roman"/>
                      <w:color w:val="auto"/>
                      <w:sz w:val="21"/>
                      <w:szCs w:val="21"/>
                      <w:highlight w:val="none"/>
                    </w:rPr>
                    <w:t>施工场地设置沉淀池（10m³/座）</w:t>
                  </w:r>
                  <w:r>
                    <w:rPr>
                      <w:rFonts w:hint="eastAsia"/>
                      <w:color w:val="auto"/>
                      <w:sz w:val="21"/>
                      <w:szCs w:val="21"/>
                      <w:highlight w:val="none"/>
                      <w:lang w:val="en-US" w:eastAsia="zh-CN"/>
                    </w:rPr>
                    <w:t>1座</w:t>
                  </w:r>
                </w:p>
              </w:tc>
              <w:tc>
                <w:tcPr>
                  <w:tcW w:w="1178" w:type="pc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回用于施工</w:t>
                  </w:r>
                  <w:r>
                    <w:rPr>
                      <w:rFonts w:hint="eastAsia"/>
                      <w:color w:val="auto"/>
                      <w:sz w:val="21"/>
                      <w:szCs w:val="21"/>
                      <w:highlight w:val="none"/>
                      <w:lang w:eastAsia="zh-CN"/>
                    </w:rPr>
                    <w:t>作业</w:t>
                  </w:r>
                  <w:r>
                    <w:rPr>
                      <w:rFonts w:ascii="Times New Roman" w:hAnsi="Times New Roman"/>
                      <w:color w:val="auto"/>
                      <w:sz w:val="21"/>
                      <w:szCs w:val="21"/>
                      <w:highlight w:val="none"/>
                    </w:rPr>
                    <w:t>过程，不外排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86" w:type="pct"/>
                  <w:vMerge w:val="restart"/>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2</w:t>
                  </w:r>
                </w:p>
              </w:tc>
              <w:tc>
                <w:tcPr>
                  <w:tcW w:w="453" w:type="pct"/>
                  <w:vMerge w:val="restar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环境空气保护</w:t>
                  </w:r>
                </w:p>
              </w:tc>
              <w:tc>
                <w:tcPr>
                  <w:tcW w:w="763" w:type="pc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施工扬尘</w:t>
                  </w:r>
                </w:p>
              </w:tc>
              <w:tc>
                <w:tcPr>
                  <w:tcW w:w="2217" w:type="pct"/>
                  <w:tcBorders>
                    <w:tl2br w:val="nil"/>
                    <w:tr2bl w:val="nil"/>
                  </w:tcBorders>
                  <w:noWrap w:val="0"/>
                  <w:vAlign w:val="center"/>
                </w:tcPr>
                <w:p>
                  <w:pPr>
                    <w:adjustRightInd w:val="0"/>
                    <w:snapToGrid w:val="0"/>
                    <w:ind w:firstLine="210" w:firstLineChars="100"/>
                    <w:jc w:val="left"/>
                    <w:rPr>
                      <w:rFonts w:ascii="Times New Roman" w:hAnsi="Times New Roman"/>
                      <w:color w:val="auto"/>
                      <w:sz w:val="21"/>
                      <w:szCs w:val="21"/>
                      <w:highlight w:val="none"/>
                    </w:rPr>
                  </w:pPr>
                  <w:r>
                    <w:rPr>
                      <w:rFonts w:ascii="Times New Roman" w:hAnsi="Times New Roman"/>
                      <w:color w:val="auto"/>
                      <w:sz w:val="21"/>
                      <w:szCs w:val="21"/>
                      <w:highlight w:val="none"/>
                    </w:rPr>
                    <w:t>洒水降尘、封闭围挡、土方覆盖、洗车平台和清洗机、6个100%等</w:t>
                  </w:r>
                </w:p>
              </w:tc>
              <w:tc>
                <w:tcPr>
                  <w:tcW w:w="1178" w:type="pct"/>
                  <w:vMerge w:val="restar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《大气污染物综合排放标准》（GB16297-1996）二级标准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86" w:type="pct"/>
                  <w:vMerge w:val="continue"/>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p>
              </w:tc>
              <w:tc>
                <w:tcPr>
                  <w:tcW w:w="453" w:type="pct"/>
                  <w:vMerge w:val="continue"/>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p>
              </w:tc>
              <w:tc>
                <w:tcPr>
                  <w:tcW w:w="763" w:type="pc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施工设备废气和运输车辆尾气</w:t>
                  </w:r>
                </w:p>
              </w:tc>
              <w:tc>
                <w:tcPr>
                  <w:tcW w:w="2217" w:type="pc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加强设备和车辆养护</w:t>
                  </w:r>
                </w:p>
              </w:tc>
              <w:tc>
                <w:tcPr>
                  <w:tcW w:w="1178" w:type="pct"/>
                  <w:vMerge w:val="continue"/>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86" w:type="pct"/>
                  <w:vMerge w:val="restart"/>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3</w:t>
                  </w:r>
                </w:p>
              </w:tc>
              <w:tc>
                <w:tcPr>
                  <w:tcW w:w="453" w:type="pct"/>
                  <w:vMerge w:val="restar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声环境保护</w:t>
                  </w:r>
                </w:p>
              </w:tc>
              <w:tc>
                <w:tcPr>
                  <w:tcW w:w="763" w:type="pct"/>
                  <w:vMerge w:val="restar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敏感点</w:t>
                  </w:r>
                </w:p>
              </w:tc>
              <w:tc>
                <w:tcPr>
                  <w:tcW w:w="2217" w:type="pc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机械辅以发动机减振垫等设施</w:t>
                  </w:r>
                </w:p>
              </w:tc>
              <w:tc>
                <w:tcPr>
                  <w:tcW w:w="1178" w:type="pct"/>
                  <w:vMerge w:val="restar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《声环境质量标准》（GB3096-2008）2类标准及4a类标准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86" w:type="pct"/>
                  <w:vMerge w:val="continue"/>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p>
              </w:tc>
              <w:tc>
                <w:tcPr>
                  <w:tcW w:w="453" w:type="pct"/>
                  <w:vMerge w:val="continue"/>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p>
              </w:tc>
              <w:tc>
                <w:tcPr>
                  <w:tcW w:w="763" w:type="pct"/>
                  <w:vMerge w:val="continue"/>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p>
              </w:tc>
              <w:tc>
                <w:tcPr>
                  <w:tcW w:w="2217" w:type="pc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禁鸣标志、减速带、限速牌、警示牌</w:t>
                  </w:r>
                </w:p>
              </w:tc>
              <w:tc>
                <w:tcPr>
                  <w:tcW w:w="1178" w:type="pct"/>
                  <w:vMerge w:val="continue"/>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86" w:type="pct"/>
                  <w:vMerge w:val="restart"/>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4</w:t>
                  </w:r>
                </w:p>
              </w:tc>
              <w:tc>
                <w:tcPr>
                  <w:tcW w:w="453" w:type="pct"/>
                  <w:vMerge w:val="restar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固体废物处理</w:t>
                  </w:r>
                </w:p>
              </w:tc>
              <w:tc>
                <w:tcPr>
                  <w:tcW w:w="763" w:type="pc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施工期生活垃圾</w:t>
                  </w:r>
                </w:p>
              </w:tc>
              <w:tc>
                <w:tcPr>
                  <w:tcW w:w="2217" w:type="pct"/>
                  <w:tcBorders>
                    <w:tl2br w:val="nil"/>
                    <w:tr2bl w:val="nil"/>
                  </w:tcBorders>
                  <w:noWrap w:val="0"/>
                  <w:vAlign w:val="center"/>
                </w:tcPr>
                <w:p>
                  <w:pPr>
                    <w:adjustRightInd w:val="0"/>
                    <w:snapToGrid w:val="0"/>
                    <w:ind w:firstLine="210" w:firstLineChars="100"/>
                    <w:jc w:val="left"/>
                    <w:rPr>
                      <w:rFonts w:ascii="Times New Roman" w:hAnsi="Times New Roman"/>
                      <w:color w:val="auto"/>
                      <w:sz w:val="21"/>
                      <w:szCs w:val="21"/>
                      <w:highlight w:val="none"/>
                    </w:rPr>
                  </w:pPr>
                  <w:r>
                    <w:rPr>
                      <w:color w:val="auto"/>
                      <w:szCs w:val="21"/>
                    </w:rPr>
                    <w:t>施工人员生活依托煤矿现有设施，不新增生活垃圾。</w:t>
                  </w:r>
                </w:p>
              </w:tc>
              <w:tc>
                <w:tcPr>
                  <w:tcW w:w="1178" w:type="pct"/>
                  <w:vMerge w:val="restar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有效保护周围环境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86" w:type="pct"/>
                  <w:vMerge w:val="continue"/>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p>
              </w:tc>
              <w:tc>
                <w:tcPr>
                  <w:tcW w:w="453" w:type="pct"/>
                  <w:vMerge w:val="continue"/>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p>
              </w:tc>
              <w:tc>
                <w:tcPr>
                  <w:tcW w:w="763" w:type="pct"/>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施工期建筑垃圾</w:t>
                  </w:r>
                </w:p>
              </w:tc>
              <w:tc>
                <w:tcPr>
                  <w:tcW w:w="2217" w:type="pct"/>
                  <w:tcBorders>
                    <w:tl2br w:val="nil"/>
                    <w:tr2bl w:val="nil"/>
                  </w:tcBorders>
                  <w:noWrap w:val="0"/>
                  <w:vAlign w:val="center"/>
                </w:tcPr>
                <w:p>
                  <w:pPr>
                    <w:adjustRightInd w:val="0"/>
                    <w:snapToGrid w:val="0"/>
                    <w:ind w:firstLine="210" w:firstLineChars="100"/>
                    <w:jc w:val="left"/>
                    <w:rPr>
                      <w:rFonts w:ascii="Times New Roman" w:hAnsi="Times New Roman"/>
                      <w:color w:val="auto"/>
                      <w:sz w:val="21"/>
                      <w:szCs w:val="21"/>
                      <w:highlight w:val="none"/>
                    </w:rPr>
                  </w:pPr>
                  <w:r>
                    <w:rPr>
                      <w:rFonts w:ascii="Times New Roman" w:hAnsi="Times New Roman"/>
                      <w:color w:val="auto"/>
                      <w:sz w:val="21"/>
                      <w:szCs w:val="21"/>
                      <w:highlight w:val="none"/>
                    </w:rPr>
                    <w:t>建筑垃圾集中收集后，运至政府指定地点处置</w:t>
                  </w:r>
                </w:p>
              </w:tc>
              <w:tc>
                <w:tcPr>
                  <w:tcW w:w="1178" w:type="pct"/>
                  <w:vMerge w:val="continue"/>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86" w:type="pct"/>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453" w:type="pct"/>
                  <w:tcBorders>
                    <w:tl2br w:val="nil"/>
                    <w:tr2bl w:val="nil"/>
                  </w:tcBorders>
                  <w:noWrap w:val="0"/>
                  <w:vAlign w:val="center"/>
                </w:tcPr>
                <w:p>
                  <w:pPr>
                    <w:snapToGrid w:val="0"/>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生态</w:t>
                  </w:r>
                </w:p>
              </w:tc>
              <w:tc>
                <w:tcPr>
                  <w:tcW w:w="763" w:type="pct"/>
                  <w:tcBorders>
                    <w:tl2br w:val="nil"/>
                    <w:tr2bl w:val="nil"/>
                  </w:tcBorders>
                  <w:noWrap w:val="0"/>
                  <w:vAlign w:val="center"/>
                </w:tcPr>
                <w:p>
                  <w:pPr>
                    <w:snapToGrid w:val="0"/>
                    <w:jc w:val="center"/>
                    <w:rPr>
                      <w:rFonts w:ascii="Times New Roman" w:hAnsi="Times New Roman"/>
                      <w:color w:val="auto"/>
                      <w:sz w:val="21"/>
                      <w:szCs w:val="21"/>
                      <w:highlight w:val="none"/>
                    </w:rPr>
                  </w:pPr>
                  <w:r>
                    <w:rPr>
                      <w:rFonts w:ascii="Times New Roman" w:hAnsi="Times New Roman" w:cs="Times New Roman"/>
                      <w:color w:val="auto"/>
                      <w:sz w:val="21"/>
                      <w:szCs w:val="21"/>
                      <w:highlight w:val="none"/>
                    </w:rPr>
                    <w:t>生态恢复</w:t>
                  </w:r>
                </w:p>
              </w:tc>
              <w:tc>
                <w:tcPr>
                  <w:tcW w:w="2217" w:type="pct"/>
                  <w:tcBorders>
                    <w:tl2br w:val="nil"/>
                    <w:tr2bl w:val="nil"/>
                  </w:tcBorders>
                  <w:noWrap w:val="0"/>
                  <w:vAlign w:val="center"/>
                </w:tcPr>
                <w:p>
                  <w:pPr>
                    <w:snapToGrid w:val="0"/>
                    <w:jc w:val="center"/>
                    <w:rPr>
                      <w:rFonts w:hint="eastAsia" w:ascii="Times New Roman" w:hAnsi="Times New Roman" w:eastAsia="宋体"/>
                      <w:color w:val="auto"/>
                      <w:sz w:val="21"/>
                      <w:szCs w:val="21"/>
                      <w:highlight w:val="none"/>
                      <w:lang w:eastAsia="zh-CN"/>
                    </w:rPr>
                  </w:pPr>
                  <w:r>
                    <w:rPr>
                      <w:rFonts w:ascii="Times New Roman" w:hAnsi="Times New Roman" w:cs="Times New Roman"/>
                      <w:color w:val="auto"/>
                      <w:sz w:val="21"/>
                      <w:szCs w:val="21"/>
                      <w:highlight w:val="none"/>
                    </w:rPr>
                    <w:t>土石方及时回填；施工结束后，遗留在施工现场的各类固废全部妥善处置，路面清扫完毕</w:t>
                  </w:r>
                  <w:r>
                    <w:rPr>
                      <w:rFonts w:hint="eastAsia" w:ascii="Times New Roman" w:hAnsi="Times New Roman" w:cs="Times New Roman"/>
                      <w:color w:val="auto"/>
                      <w:sz w:val="21"/>
                      <w:szCs w:val="21"/>
                      <w:highlight w:val="none"/>
                      <w:lang w:eastAsia="zh-CN"/>
                    </w:rPr>
                    <w:t>；临时占地的恢复措施：</w:t>
                  </w:r>
                  <w:r>
                    <w:rPr>
                      <w:rFonts w:hint="eastAsia" w:ascii="Calibri" w:hAnsi="Calibri" w:eastAsia="宋体" w:cs="Times New Roman"/>
                      <w:color w:val="auto"/>
                      <w:spacing w:val="-1"/>
                      <w:sz w:val="22"/>
                      <w:szCs w:val="22"/>
                      <w:highlight w:val="none"/>
                      <w:lang w:val="en-US" w:eastAsia="en-US" w:bidi="ar"/>
                    </w:rPr>
                    <w:t>机械土地整治</w:t>
                  </w:r>
                  <w:r>
                    <w:rPr>
                      <w:rFonts w:hint="eastAsia" w:ascii="Calibri" w:hAnsi="Calibri" w:eastAsia="宋体" w:cs="Times New Roman"/>
                      <w:color w:val="auto"/>
                      <w:spacing w:val="-1"/>
                      <w:sz w:val="22"/>
                      <w:szCs w:val="22"/>
                      <w:highlight w:val="none"/>
                      <w:lang w:val="en-US" w:eastAsia="zh-CN" w:bidi="ar"/>
                    </w:rPr>
                    <w:t>、</w:t>
                  </w:r>
                  <w:r>
                    <w:rPr>
                      <w:rFonts w:hint="eastAsia" w:ascii="Calibri" w:hAnsi="Calibri" w:eastAsia="宋体" w:cs="Times New Roman"/>
                      <w:color w:val="auto"/>
                      <w:sz w:val="22"/>
                      <w:szCs w:val="22"/>
                      <w:highlight w:val="none"/>
                      <w:lang w:val="en-US" w:eastAsia="en-US" w:bidi="ar"/>
                    </w:rPr>
                    <w:t>采取灌草结合措施进行植被恢复</w:t>
                  </w:r>
                  <w:r>
                    <w:rPr>
                      <w:rFonts w:hint="eastAsia" w:ascii="Calibri" w:hAnsi="Calibri" w:eastAsia="宋体" w:cs="Times New Roman"/>
                      <w:color w:val="auto"/>
                      <w:sz w:val="22"/>
                      <w:szCs w:val="22"/>
                      <w:highlight w:val="none"/>
                      <w:lang w:val="en-US" w:eastAsia="zh-CN" w:bidi="ar"/>
                    </w:rPr>
                    <w:t>。</w:t>
                  </w:r>
                </w:p>
              </w:tc>
              <w:tc>
                <w:tcPr>
                  <w:tcW w:w="1178" w:type="pct"/>
                  <w:tcBorders>
                    <w:tl2br w:val="nil"/>
                    <w:tr2bl w:val="nil"/>
                  </w:tcBorders>
                  <w:noWrap w:val="0"/>
                  <w:vAlign w:val="center"/>
                </w:tcPr>
                <w:p>
                  <w:pPr>
                    <w:snapToGrid w:val="0"/>
                    <w:jc w:val="center"/>
                    <w:rPr>
                      <w:rFonts w:hint="eastAsia" w:ascii="Times New Roman" w:hAnsi="Times New Roman" w:eastAsia="宋体"/>
                      <w:color w:val="auto"/>
                      <w:sz w:val="21"/>
                      <w:szCs w:val="21"/>
                      <w:highlight w:val="none"/>
                      <w:lang w:eastAsia="zh-CN"/>
                    </w:rPr>
                  </w:pPr>
                  <w:r>
                    <w:rPr>
                      <w:rFonts w:ascii="Times New Roman" w:hAnsi="Times New Roman" w:cs="Times New Roman"/>
                      <w:color w:val="auto"/>
                      <w:sz w:val="21"/>
                      <w:szCs w:val="21"/>
                      <w:highlight w:val="none"/>
                    </w:rPr>
                    <w:t>施工现场无渣土堆放，路面整洁</w:t>
                  </w:r>
                  <w:r>
                    <w:rPr>
                      <w:rFonts w:hint="eastAsia" w:ascii="Times New Roman" w:hAnsi="Times New Roman" w:cs="Times New Roman"/>
                      <w:color w:val="auto"/>
                      <w:sz w:val="21"/>
                      <w:szCs w:val="21"/>
                      <w:highlight w:val="none"/>
                      <w:lang w:eastAsia="zh-CN"/>
                    </w:rPr>
                    <w:t>；临时占地的植被恢复</w:t>
                  </w:r>
                </w:p>
              </w:tc>
            </w:tr>
          </w:tbl>
          <w:p>
            <w:pPr>
              <w:adjustRightInd w:val="0"/>
              <w:snapToGrid w:val="0"/>
              <w:rPr>
                <w:bCs/>
                <w:color w:val="auto"/>
                <w:spacing w:val="1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18" w:type="dxa"/>
            <w:vAlign w:val="center"/>
          </w:tcPr>
          <w:p>
            <w:pPr>
              <w:adjustRightInd w:val="0"/>
              <w:snapToGrid w:val="0"/>
              <w:jc w:val="center"/>
              <w:rPr>
                <w:bCs/>
                <w:color w:val="auto"/>
                <w:spacing w:val="10"/>
                <w:sz w:val="24"/>
              </w:rPr>
            </w:pPr>
            <w:r>
              <w:rPr>
                <w:bCs/>
                <w:color w:val="auto"/>
                <w:sz w:val="24"/>
              </w:rPr>
              <w:t>环保投资</w:t>
            </w:r>
          </w:p>
        </w:tc>
        <w:tc>
          <w:tcPr>
            <w:tcW w:w="8492" w:type="dxa"/>
          </w:tcPr>
          <w:p>
            <w:pPr>
              <w:widowControl/>
              <w:tabs>
                <w:tab w:val="left" w:pos="9178"/>
              </w:tabs>
              <w:adjustRightInd w:val="0"/>
              <w:snapToGrid w:val="0"/>
              <w:spacing w:line="360" w:lineRule="auto"/>
              <w:ind w:firstLine="482" w:firstLineChars="201"/>
              <w:rPr>
                <w:color w:val="auto"/>
                <w:kern w:val="0"/>
                <w:sz w:val="24"/>
              </w:rPr>
            </w:pPr>
            <w:r>
              <w:rPr>
                <w:color w:val="auto"/>
                <w:kern w:val="0"/>
                <w:sz w:val="24"/>
              </w:rPr>
              <w:t>本项目总投资</w:t>
            </w:r>
            <w:r>
              <w:rPr>
                <w:bCs/>
                <w:color w:val="auto"/>
                <w:kern w:val="0"/>
                <w:sz w:val="24"/>
              </w:rPr>
              <w:t>1259.52</w:t>
            </w:r>
            <w:r>
              <w:rPr>
                <w:color w:val="auto"/>
                <w:kern w:val="0"/>
                <w:sz w:val="24"/>
              </w:rPr>
              <w:t>万元，其中本项目施工期的各项环保治理措施、水土保持均属于环保投资，环保总投资为113万元，占项目总投资的8.97</w:t>
            </w:r>
            <w:r>
              <w:rPr>
                <w:color w:val="auto"/>
                <w:sz w:val="24"/>
              </w:rPr>
              <w:t>%</w:t>
            </w:r>
            <w:r>
              <w:rPr>
                <w:color w:val="auto"/>
                <w:kern w:val="0"/>
                <w:sz w:val="24"/>
              </w:rPr>
              <w:t>。</w:t>
            </w:r>
          </w:p>
          <w:p>
            <w:pPr>
              <w:widowControl/>
              <w:tabs>
                <w:tab w:val="left" w:pos="9178"/>
              </w:tabs>
              <w:adjustRightInd w:val="0"/>
              <w:snapToGrid w:val="0"/>
              <w:spacing w:line="360" w:lineRule="auto"/>
              <w:ind w:firstLine="482" w:firstLineChars="201"/>
              <w:rPr>
                <w:b/>
                <w:color w:val="auto"/>
                <w:sz w:val="24"/>
              </w:rPr>
            </w:pPr>
            <w:r>
              <w:rPr>
                <w:color w:val="auto"/>
                <w:sz w:val="24"/>
              </w:rPr>
              <w:t>具体环保投资见表</w:t>
            </w:r>
            <w:r>
              <w:rPr>
                <w:rFonts w:hint="eastAsia"/>
                <w:color w:val="auto"/>
                <w:sz w:val="24"/>
              </w:rPr>
              <w:t>5-</w:t>
            </w:r>
            <w:r>
              <w:rPr>
                <w:color w:val="auto"/>
                <w:sz w:val="24"/>
              </w:rPr>
              <w:t>3。</w:t>
            </w:r>
          </w:p>
          <w:p>
            <w:pPr>
              <w:adjustRightInd w:val="0"/>
              <w:snapToGrid w:val="0"/>
              <w:ind w:left="128" w:leftChars="61" w:right="118" w:rightChars="56" w:firstLine="1687" w:firstLineChars="700"/>
              <w:rPr>
                <w:b/>
                <w:color w:val="auto"/>
                <w:sz w:val="24"/>
              </w:rPr>
            </w:pPr>
            <w:r>
              <w:rPr>
                <w:b/>
                <w:color w:val="auto"/>
                <w:sz w:val="24"/>
              </w:rPr>
              <w:t>表</w:t>
            </w:r>
            <w:r>
              <w:rPr>
                <w:rFonts w:hint="eastAsia"/>
                <w:b/>
                <w:color w:val="auto"/>
                <w:sz w:val="24"/>
              </w:rPr>
              <w:t>5-</w:t>
            </w:r>
            <w:r>
              <w:rPr>
                <w:b/>
                <w:color w:val="auto"/>
                <w:sz w:val="24"/>
              </w:rPr>
              <w:t>3       项目环保投资估算一览表</w:t>
            </w:r>
          </w:p>
          <w:tbl>
            <w:tblPr>
              <w:tblStyle w:val="19"/>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308"/>
              <w:gridCol w:w="650"/>
              <w:gridCol w:w="1170"/>
              <w:gridCol w:w="5190"/>
              <w:gridCol w:w="7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8" w:type="dxa"/>
                  <w:gridSpan w:val="2"/>
                  <w:vAlign w:val="center"/>
                </w:tcPr>
                <w:p>
                  <w:pPr>
                    <w:widowControl/>
                    <w:adjustRightInd w:val="0"/>
                    <w:snapToGrid w:val="0"/>
                    <w:jc w:val="center"/>
                    <w:rPr>
                      <w:b/>
                      <w:color w:val="auto"/>
                      <w:kern w:val="0"/>
                      <w:szCs w:val="21"/>
                    </w:rPr>
                  </w:pPr>
                  <w:r>
                    <w:rPr>
                      <w:b/>
                      <w:color w:val="auto"/>
                      <w:kern w:val="0"/>
                      <w:szCs w:val="21"/>
                    </w:rPr>
                    <w:t>治理项目</w:t>
                  </w:r>
                </w:p>
              </w:tc>
              <w:tc>
                <w:tcPr>
                  <w:tcW w:w="1170" w:type="dxa"/>
                  <w:vAlign w:val="center"/>
                </w:tcPr>
                <w:p>
                  <w:pPr>
                    <w:widowControl/>
                    <w:adjustRightInd w:val="0"/>
                    <w:snapToGrid w:val="0"/>
                    <w:jc w:val="center"/>
                    <w:rPr>
                      <w:b/>
                      <w:color w:val="auto"/>
                      <w:kern w:val="0"/>
                      <w:szCs w:val="21"/>
                    </w:rPr>
                  </w:pPr>
                  <w:r>
                    <w:rPr>
                      <w:b/>
                      <w:color w:val="auto"/>
                      <w:kern w:val="0"/>
                      <w:szCs w:val="21"/>
                    </w:rPr>
                    <w:t>环境影</w:t>
                  </w:r>
                </w:p>
                <w:p>
                  <w:pPr>
                    <w:widowControl/>
                    <w:adjustRightInd w:val="0"/>
                    <w:snapToGrid w:val="0"/>
                    <w:jc w:val="center"/>
                    <w:rPr>
                      <w:b/>
                      <w:color w:val="auto"/>
                      <w:kern w:val="0"/>
                      <w:szCs w:val="21"/>
                    </w:rPr>
                  </w:pPr>
                  <w:r>
                    <w:rPr>
                      <w:b/>
                      <w:color w:val="auto"/>
                      <w:kern w:val="0"/>
                      <w:szCs w:val="21"/>
                    </w:rPr>
                    <w:t>响因子</w:t>
                  </w:r>
                </w:p>
              </w:tc>
              <w:tc>
                <w:tcPr>
                  <w:tcW w:w="5190" w:type="dxa"/>
                  <w:vAlign w:val="center"/>
                </w:tcPr>
                <w:p>
                  <w:pPr>
                    <w:widowControl/>
                    <w:adjustRightInd w:val="0"/>
                    <w:snapToGrid w:val="0"/>
                    <w:jc w:val="center"/>
                    <w:rPr>
                      <w:b/>
                      <w:color w:val="auto"/>
                      <w:kern w:val="0"/>
                      <w:szCs w:val="21"/>
                    </w:rPr>
                  </w:pPr>
                  <w:r>
                    <w:rPr>
                      <w:b/>
                      <w:color w:val="auto"/>
                      <w:kern w:val="0"/>
                      <w:szCs w:val="21"/>
                    </w:rPr>
                    <w:t>处理措施</w:t>
                  </w:r>
                </w:p>
              </w:tc>
              <w:tc>
                <w:tcPr>
                  <w:tcW w:w="792" w:type="dxa"/>
                  <w:vAlign w:val="center"/>
                </w:tcPr>
                <w:p>
                  <w:pPr>
                    <w:widowControl/>
                    <w:adjustRightInd w:val="0"/>
                    <w:snapToGrid w:val="0"/>
                    <w:jc w:val="center"/>
                    <w:rPr>
                      <w:b/>
                      <w:color w:val="auto"/>
                      <w:kern w:val="0"/>
                      <w:szCs w:val="21"/>
                    </w:rPr>
                  </w:pPr>
                  <w:r>
                    <w:rPr>
                      <w:b/>
                      <w:color w:val="auto"/>
                      <w:kern w:val="0"/>
                      <w:szCs w:val="21"/>
                    </w:rPr>
                    <w:t>投资估算(万元)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8" w:type="dxa"/>
                  <w:vMerge w:val="restart"/>
                  <w:vAlign w:val="center"/>
                </w:tcPr>
                <w:p>
                  <w:pPr>
                    <w:adjustRightInd w:val="0"/>
                    <w:snapToGrid w:val="0"/>
                    <w:jc w:val="center"/>
                    <w:rPr>
                      <w:color w:val="auto"/>
                      <w:szCs w:val="21"/>
                    </w:rPr>
                  </w:pPr>
                  <w:r>
                    <w:rPr>
                      <w:color w:val="auto"/>
                      <w:szCs w:val="21"/>
                    </w:rPr>
                    <w:t>施工期</w:t>
                  </w:r>
                </w:p>
              </w:tc>
              <w:tc>
                <w:tcPr>
                  <w:tcW w:w="650" w:type="dxa"/>
                  <w:vAlign w:val="center"/>
                </w:tcPr>
                <w:p>
                  <w:pPr>
                    <w:adjustRightInd w:val="0"/>
                    <w:snapToGrid w:val="0"/>
                    <w:jc w:val="center"/>
                    <w:rPr>
                      <w:color w:val="auto"/>
                      <w:szCs w:val="21"/>
                    </w:rPr>
                  </w:pPr>
                  <w:r>
                    <w:rPr>
                      <w:color w:val="auto"/>
                      <w:szCs w:val="21"/>
                    </w:rPr>
                    <w:t>废气</w:t>
                  </w:r>
                </w:p>
                <w:p>
                  <w:pPr>
                    <w:adjustRightInd w:val="0"/>
                    <w:snapToGrid w:val="0"/>
                    <w:jc w:val="center"/>
                    <w:rPr>
                      <w:color w:val="auto"/>
                      <w:szCs w:val="21"/>
                    </w:rPr>
                  </w:pPr>
                  <w:r>
                    <w:rPr>
                      <w:color w:val="auto"/>
                      <w:szCs w:val="21"/>
                    </w:rPr>
                    <w:t>治理</w:t>
                  </w:r>
                </w:p>
              </w:tc>
              <w:tc>
                <w:tcPr>
                  <w:tcW w:w="1170" w:type="dxa"/>
                  <w:vAlign w:val="center"/>
                </w:tcPr>
                <w:p>
                  <w:pPr>
                    <w:adjustRightInd w:val="0"/>
                    <w:snapToGrid w:val="0"/>
                    <w:jc w:val="center"/>
                    <w:rPr>
                      <w:color w:val="auto"/>
                      <w:szCs w:val="21"/>
                    </w:rPr>
                  </w:pPr>
                  <w:r>
                    <w:rPr>
                      <w:color w:val="auto"/>
                      <w:szCs w:val="21"/>
                    </w:rPr>
                    <w:t>施工期扬尘、</w:t>
                  </w:r>
                </w:p>
                <w:p>
                  <w:pPr>
                    <w:adjustRightInd w:val="0"/>
                    <w:snapToGrid w:val="0"/>
                    <w:ind w:firstLine="210" w:firstLineChars="100"/>
                    <w:rPr>
                      <w:color w:val="auto"/>
                      <w:szCs w:val="21"/>
                    </w:rPr>
                  </w:pPr>
                  <w:r>
                    <w:rPr>
                      <w:color w:val="auto"/>
                      <w:szCs w:val="21"/>
                    </w:rPr>
                    <w:t>机械废气</w:t>
                  </w:r>
                </w:p>
              </w:tc>
              <w:tc>
                <w:tcPr>
                  <w:tcW w:w="5190" w:type="dxa"/>
                  <w:vAlign w:val="center"/>
                </w:tcPr>
                <w:p>
                  <w:pPr>
                    <w:pStyle w:val="12"/>
                    <w:adjustRightInd w:val="0"/>
                    <w:snapToGrid w:val="0"/>
                    <w:jc w:val="center"/>
                    <w:rPr>
                      <w:rFonts w:ascii="Times New Roman" w:hAnsi="Times New Roman"/>
                      <w:bCs/>
                      <w:color w:val="auto"/>
                    </w:rPr>
                  </w:pPr>
                  <w:r>
                    <w:rPr>
                      <w:rFonts w:ascii="Times New Roman" w:hAnsi="Times New Roman"/>
                      <w:color w:val="auto"/>
                    </w:rPr>
                    <w:t>施工扬尘采取设置施工区围挡设施、洒水抑尘、材料遮盖、采用湿法作业等措施，机械废气经大气扩散，绿化吸附等措施。</w:t>
                  </w:r>
                </w:p>
              </w:tc>
              <w:tc>
                <w:tcPr>
                  <w:tcW w:w="792" w:type="dxa"/>
                  <w:vAlign w:val="center"/>
                </w:tcPr>
                <w:p>
                  <w:pPr>
                    <w:adjustRightInd w:val="0"/>
                    <w:snapToGrid w:val="0"/>
                    <w:jc w:val="center"/>
                    <w:rPr>
                      <w:color w:val="auto"/>
                      <w:szCs w:val="21"/>
                    </w:rPr>
                  </w:pPr>
                  <w:r>
                    <w:rPr>
                      <w:color w:val="auto"/>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8" w:type="dxa"/>
                  <w:vMerge w:val="continue"/>
                  <w:vAlign w:val="center"/>
                </w:tcPr>
                <w:p>
                  <w:pPr>
                    <w:adjustRightInd w:val="0"/>
                    <w:snapToGrid w:val="0"/>
                    <w:jc w:val="center"/>
                    <w:rPr>
                      <w:color w:val="auto"/>
                      <w:szCs w:val="21"/>
                    </w:rPr>
                  </w:pPr>
                </w:p>
              </w:tc>
              <w:tc>
                <w:tcPr>
                  <w:tcW w:w="650" w:type="dxa"/>
                  <w:vAlign w:val="center"/>
                </w:tcPr>
                <w:p>
                  <w:pPr>
                    <w:adjustRightInd w:val="0"/>
                    <w:snapToGrid w:val="0"/>
                    <w:jc w:val="center"/>
                    <w:rPr>
                      <w:color w:val="auto"/>
                      <w:szCs w:val="21"/>
                    </w:rPr>
                  </w:pPr>
                  <w:r>
                    <w:rPr>
                      <w:color w:val="auto"/>
                      <w:szCs w:val="21"/>
                    </w:rPr>
                    <w:t>废水</w:t>
                  </w:r>
                </w:p>
                <w:p>
                  <w:pPr>
                    <w:adjustRightInd w:val="0"/>
                    <w:snapToGrid w:val="0"/>
                    <w:jc w:val="center"/>
                    <w:rPr>
                      <w:color w:val="auto"/>
                      <w:szCs w:val="21"/>
                    </w:rPr>
                  </w:pPr>
                  <w:r>
                    <w:rPr>
                      <w:color w:val="auto"/>
                      <w:szCs w:val="21"/>
                    </w:rPr>
                    <w:t>治理</w:t>
                  </w:r>
                </w:p>
              </w:tc>
              <w:tc>
                <w:tcPr>
                  <w:tcW w:w="1170" w:type="dxa"/>
                  <w:vAlign w:val="center"/>
                </w:tcPr>
                <w:p>
                  <w:pPr>
                    <w:adjustRightInd w:val="0"/>
                    <w:snapToGrid w:val="0"/>
                    <w:jc w:val="center"/>
                    <w:rPr>
                      <w:color w:val="auto"/>
                      <w:szCs w:val="21"/>
                    </w:rPr>
                  </w:pPr>
                  <w:r>
                    <w:rPr>
                      <w:color w:val="auto"/>
                      <w:szCs w:val="21"/>
                    </w:rPr>
                    <w:t>施工废水、</w:t>
                  </w:r>
                </w:p>
                <w:p>
                  <w:pPr>
                    <w:adjustRightInd w:val="0"/>
                    <w:snapToGrid w:val="0"/>
                    <w:jc w:val="center"/>
                    <w:rPr>
                      <w:color w:val="auto"/>
                      <w:szCs w:val="21"/>
                    </w:rPr>
                  </w:pPr>
                  <w:r>
                    <w:rPr>
                      <w:color w:val="auto"/>
                    </w:rPr>
                    <w:t>生活污水</w:t>
                  </w:r>
                </w:p>
              </w:tc>
              <w:tc>
                <w:tcPr>
                  <w:tcW w:w="5190" w:type="dxa"/>
                  <w:vAlign w:val="center"/>
                </w:tcPr>
                <w:p>
                  <w:pPr>
                    <w:pStyle w:val="12"/>
                    <w:adjustRightInd w:val="0"/>
                    <w:snapToGrid w:val="0"/>
                    <w:jc w:val="center"/>
                    <w:rPr>
                      <w:rFonts w:ascii="Times New Roman" w:hAnsi="Times New Roman"/>
                      <w:color w:val="auto"/>
                    </w:rPr>
                  </w:pPr>
                  <w:r>
                    <w:rPr>
                      <w:rFonts w:ascii="Times New Roman" w:hAnsi="Times New Roman"/>
                      <w:color w:val="auto"/>
                    </w:rPr>
                    <w:t>施工废水经临时沉淀池处理后，洒水抑尘。生活污水依托农村村庄旱厕。</w:t>
                  </w:r>
                </w:p>
              </w:tc>
              <w:tc>
                <w:tcPr>
                  <w:tcW w:w="792" w:type="dxa"/>
                  <w:vAlign w:val="center"/>
                </w:tcPr>
                <w:p>
                  <w:pPr>
                    <w:adjustRightInd w:val="0"/>
                    <w:snapToGrid w:val="0"/>
                    <w:jc w:val="center"/>
                    <w:rPr>
                      <w:color w:val="auto"/>
                      <w:szCs w:val="21"/>
                    </w:rPr>
                  </w:pPr>
                  <w:r>
                    <w:rPr>
                      <w:color w:val="auto"/>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8" w:type="dxa"/>
                  <w:vMerge w:val="continue"/>
                  <w:vAlign w:val="center"/>
                </w:tcPr>
                <w:p>
                  <w:pPr>
                    <w:adjustRightInd w:val="0"/>
                    <w:snapToGrid w:val="0"/>
                    <w:jc w:val="center"/>
                    <w:rPr>
                      <w:color w:val="auto"/>
                      <w:szCs w:val="21"/>
                    </w:rPr>
                  </w:pPr>
                </w:p>
              </w:tc>
              <w:tc>
                <w:tcPr>
                  <w:tcW w:w="650" w:type="dxa"/>
                  <w:vAlign w:val="center"/>
                </w:tcPr>
                <w:p>
                  <w:pPr>
                    <w:adjustRightInd w:val="0"/>
                    <w:snapToGrid w:val="0"/>
                    <w:jc w:val="center"/>
                    <w:rPr>
                      <w:color w:val="auto"/>
                      <w:spacing w:val="-20"/>
                      <w:szCs w:val="21"/>
                    </w:rPr>
                  </w:pPr>
                  <w:r>
                    <w:rPr>
                      <w:color w:val="auto"/>
                      <w:spacing w:val="-20"/>
                      <w:szCs w:val="21"/>
                    </w:rPr>
                    <w:t>噪声</w:t>
                  </w:r>
                </w:p>
                <w:p>
                  <w:pPr>
                    <w:adjustRightInd w:val="0"/>
                    <w:snapToGrid w:val="0"/>
                    <w:jc w:val="center"/>
                    <w:rPr>
                      <w:color w:val="auto"/>
                      <w:spacing w:val="-20"/>
                      <w:szCs w:val="21"/>
                    </w:rPr>
                  </w:pPr>
                  <w:r>
                    <w:rPr>
                      <w:color w:val="auto"/>
                      <w:spacing w:val="-20"/>
                      <w:szCs w:val="21"/>
                    </w:rPr>
                    <w:t>治理</w:t>
                  </w:r>
                </w:p>
              </w:tc>
              <w:tc>
                <w:tcPr>
                  <w:tcW w:w="1170" w:type="dxa"/>
                  <w:vAlign w:val="center"/>
                </w:tcPr>
                <w:p>
                  <w:pPr>
                    <w:adjustRightInd w:val="0"/>
                    <w:snapToGrid w:val="0"/>
                    <w:jc w:val="center"/>
                    <w:rPr>
                      <w:color w:val="auto"/>
                      <w:szCs w:val="21"/>
                    </w:rPr>
                  </w:pPr>
                  <w:r>
                    <w:rPr>
                      <w:color w:val="auto"/>
                      <w:szCs w:val="21"/>
                    </w:rPr>
                    <w:t>高噪声设备</w:t>
                  </w:r>
                </w:p>
              </w:tc>
              <w:tc>
                <w:tcPr>
                  <w:tcW w:w="5190" w:type="dxa"/>
                  <w:vAlign w:val="center"/>
                </w:tcPr>
                <w:p>
                  <w:pPr>
                    <w:pStyle w:val="12"/>
                    <w:adjustRightInd w:val="0"/>
                    <w:snapToGrid w:val="0"/>
                    <w:jc w:val="center"/>
                    <w:rPr>
                      <w:rFonts w:ascii="Times New Roman" w:hAnsi="Times New Roman"/>
                      <w:color w:val="auto"/>
                    </w:rPr>
                  </w:pPr>
                  <w:r>
                    <w:rPr>
                      <w:rFonts w:ascii="Times New Roman" w:hAnsi="Times New Roman"/>
                      <w:color w:val="auto"/>
                    </w:rPr>
                    <w:t>选用低噪声设备，设置高噪声设备消声、减震设施</w:t>
                  </w:r>
                </w:p>
              </w:tc>
              <w:tc>
                <w:tcPr>
                  <w:tcW w:w="792" w:type="dxa"/>
                  <w:vAlign w:val="center"/>
                </w:tcPr>
                <w:p>
                  <w:pPr>
                    <w:adjustRightInd w:val="0"/>
                    <w:snapToGrid w:val="0"/>
                    <w:jc w:val="center"/>
                    <w:rPr>
                      <w:color w:val="auto"/>
                      <w:szCs w:val="21"/>
                    </w:rPr>
                  </w:pPr>
                  <w:r>
                    <w:rPr>
                      <w:color w:val="auto"/>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8" w:type="dxa"/>
                  <w:vMerge w:val="continue"/>
                  <w:vAlign w:val="center"/>
                </w:tcPr>
                <w:p>
                  <w:pPr>
                    <w:adjustRightInd w:val="0"/>
                    <w:snapToGrid w:val="0"/>
                    <w:jc w:val="center"/>
                    <w:rPr>
                      <w:color w:val="auto"/>
                      <w:szCs w:val="21"/>
                    </w:rPr>
                  </w:pPr>
                </w:p>
              </w:tc>
              <w:tc>
                <w:tcPr>
                  <w:tcW w:w="650" w:type="dxa"/>
                  <w:vAlign w:val="center"/>
                </w:tcPr>
                <w:p>
                  <w:pPr>
                    <w:adjustRightInd w:val="0"/>
                    <w:snapToGrid w:val="0"/>
                    <w:jc w:val="center"/>
                    <w:rPr>
                      <w:color w:val="auto"/>
                      <w:szCs w:val="21"/>
                    </w:rPr>
                  </w:pPr>
                  <w:r>
                    <w:rPr>
                      <w:color w:val="auto"/>
                      <w:szCs w:val="21"/>
                    </w:rPr>
                    <w:t>固废</w:t>
                  </w:r>
                </w:p>
                <w:p>
                  <w:pPr>
                    <w:adjustRightInd w:val="0"/>
                    <w:snapToGrid w:val="0"/>
                    <w:jc w:val="center"/>
                    <w:rPr>
                      <w:color w:val="auto"/>
                      <w:szCs w:val="21"/>
                    </w:rPr>
                  </w:pPr>
                  <w:r>
                    <w:rPr>
                      <w:color w:val="auto"/>
                      <w:szCs w:val="21"/>
                    </w:rPr>
                    <w:t>治理</w:t>
                  </w:r>
                </w:p>
              </w:tc>
              <w:tc>
                <w:tcPr>
                  <w:tcW w:w="1170" w:type="dxa"/>
                  <w:vAlign w:val="center"/>
                </w:tcPr>
                <w:p>
                  <w:pPr>
                    <w:adjustRightInd w:val="0"/>
                    <w:snapToGrid w:val="0"/>
                    <w:jc w:val="center"/>
                    <w:rPr>
                      <w:color w:val="auto"/>
                      <w:szCs w:val="21"/>
                    </w:rPr>
                  </w:pPr>
                  <w:r>
                    <w:rPr>
                      <w:color w:val="auto"/>
                      <w:szCs w:val="21"/>
                    </w:rPr>
                    <w:t>生活垃圾、弃土、建筑垃圾</w:t>
                  </w:r>
                </w:p>
              </w:tc>
              <w:tc>
                <w:tcPr>
                  <w:tcW w:w="5190" w:type="dxa"/>
                  <w:vAlign w:val="center"/>
                </w:tcPr>
                <w:p>
                  <w:pPr>
                    <w:pStyle w:val="12"/>
                    <w:adjustRightInd w:val="0"/>
                    <w:snapToGrid w:val="0"/>
                    <w:jc w:val="center"/>
                    <w:rPr>
                      <w:rFonts w:ascii="Times New Roman" w:hAnsi="Times New Roman"/>
                      <w:color w:val="auto"/>
                    </w:rPr>
                  </w:pPr>
                  <w:r>
                    <w:rPr>
                      <w:rFonts w:ascii="Times New Roman" w:hAnsi="Times New Roman"/>
                      <w:color w:val="auto"/>
                    </w:rPr>
                    <w:t>生活垃圾分类收集，运至附近乡镇生活垃圾填埋场处置；建筑垃圾能综合利用的全部综合利用，不能综合利用的全部由建设单位统一运至政府指定地点。弃土</w:t>
                  </w:r>
                  <w:r>
                    <w:rPr>
                      <w:rFonts w:ascii="Times New Roman" w:hAnsi="Times New Roman"/>
                      <w:color w:val="auto"/>
                      <w:kern w:val="0"/>
                      <w:szCs w:val="21"/>
                    </w:rPr>
                    <w:t>用于周边洼地填平</w:t>
                  </w:r>
                </w:p>
              </w:tc>
              <w:tc>
                <w:tcPr>
                  <w:tcW w:w="792" w:type="dxa"/>
                  <w:vAlign w:val="center"/>
                </w:tcPr>
                <w:p>
                  <w:pPr>
                    <w:adjustRightInd w:val="0"/>
                    <w:snapToGrid w:val="0"/>
                    <w:jc w:val="center"/>
                    <w:rPr>
                      <w:color w:val="auto"/>
                      <w:szCs w:val="21"/>
                    </w:rPr>
                  </w:pPr>
                  <w:r>
                    <w:rPr>
                      <w:color w:val="auto"/>
                      <w:szCs w:val="21"/>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8" w:type="dxa"/>
                  <w:vMerge w:val="continue"/>
                  <w:vAlign w:val="center"/>
                </w:tcPr>
                <w:p>
                  <w:pPr>
                    <w:adjustRightInd w:val="0"/>
                    <w:snapToGrid w:val="0"/>
                    <w:jc w:val="center"/>
                    <w:rPr>
                      <w:color w:val="auto"/>
                      <w:szCs w:val="21"/>
                    </w:rPr>
                  </w:pPr>
                </w:p>
              </w:tc>
              <w:tc>
                <w:tcPr>
                  <w:tcW w:w="650" w:type="dxa"/>
                  <w:vAlign w:val="center"/>
                </w:tcPr>
                <w:p>
                  <w:pPr>
                    <w:adjustRightInd w:val="0"/>
                    <w:snapToGrid w:val="0"/>
                    <w:jc w:val="center"/>
                    <w:rPr>
                      <w:color w:val="auto"/>
                      <w:szCs w:val="21"/>
                    </w:rPr>
                  </w:pPr>
                  <w:r>
                    <w:rPr>
                      <w:color w:val="auto"/>
                      <w:szCs w:val="21"/>
                    </w:rPr>
                    <w:t>生态</w:t>
                  </w:r>
                </w:p>
                <w:p>
                  <w:pPr>
                    <w:adjustRightInd w:val="0"/>
                    <w:snapToGrid w:val="0"/>
                    <w:jc w:val="center"/>
                    <w:rPr>
                      <w:color w:val="auto"/>
                      <w:szCs w:val="21"/>
                    </w:rPr>
                  </w:pPr>
                  <w:r>
                    <w:rPr>
                      <w:color w:val="auto"/>
                      <w:szCs w:val="21"/>
                    </w:rPr>
                    <w:t>恢复</w:t>
                  </w:r>
                </w:p>
              </w:tc>
              <w:tc>
                <w:tcPr>
                  <w:tcW w:w="1170" w:type="dxa"/>
                  <w:vAlign w:val="center"/>
                </w:tcPr>
                <w:p>
                  <w:pPr>
                    <w:adjustRightInd w:val="0"/>
                    <w:snapToGrid w:val="0"/>
                    <w:jc w:val="center"/>
                    <w:rPr>
                      <w:color w:val="auto"/>
                      <w:szCs w:val="21"/>
                    </w:rPr>
                  </w:pPr>
                  <w:r>
                    <w:rPr>
                      <w:color w:val="auto"/>
                      <w:szCs w:val="21"/>
                    </w:rPr>
                    <w:t>占地、水土流失</w:t>
                  </w:r>
                </w:p>
              </w:tc>
              <w:tc>
                <w:tcPr>
                  <w:tcW w:w="5190" w:type="dxa"/>
                  <w:vAlign w:val="center"/>
                </w:tcPr>
                <w:p>
                  <w:pPr>
                    <w:adjustRightInd w:val="0"/>
                    <w:snapToGrid w:val="0"/>
                    <w:jc w:val="center"/>
                    <w:rPr>
                      <w:color w:val="auto"/>
                      <w:szCs w:val="21"/>
                    </w:rPr>
                  </w:pPr>
                  <w:r>
                    <w:rPr>
                      <w:color w:val="auto"/>
                      <w:spacing w:val="-6"/>
                      <w:szCs w:val="21"/>
                    </w:rPr>
                    <w:t>实施水土保持方案，管道管沟分层开挖，土方分层堆放，施工结束后对临时占地回填复垦，对临时占地撒草籽、种植植被，恢复至原有生态功能。</w:t>
                  </w:r>
                </w:p>
              </w:tc>
              <w:tc>
                <w:tcPr>
                  <w:tcW w:w="792" w:type="dxa"/>
                  <w:vAlign w:val="center"/>
                </w:tcPr>
                <w:p>
                  <w:pPr>
                    <w:adjustRightInd w:val="0"/>
                    <w:snapToGrid w:val="0"/>
                    <w:jc w:val="center"/>
                    <w:rPr>
                      <w:color w:val="auto"/>
                      <w:szCs w:val="21"/>
                    </w:rPr>
                  </w:pPr>
                  <w:r>
                    <w:rPr>
                      <w:color w:val="auto"/>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8" w:type="dxa"/>
                  <w:vMerge w:val="restart"/>
                  <w:vAlign w:val="center"/>
                </w:tcPr>
                <w:p>
                  <w:pPr>
                    <w:adjustRightInd w:val="0"/>
                    <w:snapToGrid w:val="0"/>
                    <w:jc w:val="center"/>
                    <w:rPr>
                      <w:color w:val="auto"/>
                      <w:szCs w:val="21"/>
                    </w:rPr>
                  </w:pPr>
                  <w:r>
                    <w:rPr>
                      <w:color w:val="auto"/>
                      <w:szCs w:val="21"/>
                    </w:rPr>
                    <w:t>运营期</w:t>
                  </w:r>
                </w:p>
              </w:tc>
              <w:tc>
                <w:tcPr>
                  <w:tcW w:w="1820" w:type="dxa"/>
                  <w:gridSpan w:val="2"/>
                  <w:vAlign w:val="center"/>
                </w:tcPr>
                <w:p>
                  <w:pPr>
                    <w:adjustRightInd w:val="0"/>
                    <w:snapToGrid w:val="0"/>
                    <w:jc w:val="center"/>
                    <w:rPr>
                      <w:rFonts w:hint="eastAsia"/>
                      <w:color w:val="auto"/>
                      <w:szCs w:val="21"/>
                    </w:rPr>
                  </w:pPr>
                  <w:r>
                    <w:rPr>
                      <w:rFonts w:hint="eastAsia"/>
                      <w:color w:val="auto"/>
                      <w:szCs w:val="21"/>
                    </w:rPr>
                    <w:t>日常巡视</w:t>
                  </w:r>
                </w:p>
              </w:tc>
              <w:tc>
                <w:tcPr>
                  <w:tcW w:w="5190" w:type="dxa"/>
                  <w:vAlign w:val="center"/>
                </w:tcPr>
                <w:p>
                  <w:pPr>
                    <w:adjustRightInd w:val="0"/>
                    <w:snapToGrid w:val="0"/>
                    <w:jc w:val="center"/>
                    <w:rPr>
                      <w:rFonts w:hint="eastAsia"/>
                      <w:color w:val="auto"/>
                      <w:spacing w:val="-6"/>
                      <w:szCs w:val="21"/>
                    </w:rPr>
                  </w:pPr>
                  <w:r>
                    <w:rPr>
                      <w:rFonts w:hint="eastAsia"/>
                      <w:color w:val="auto"/>
                    </w:rPr>
                    <w:t>王洼二矿开展日常巡查工作，防范环境风险。</w:t>
                  </w:r>
                </w:p>
              </w:tc>
              <w:tc>
                <w:tcPr>
                  <w:tcW w:w="792" w:type="dxa"/>
                  <w:vAlign w:val="center"/>
                </w:tcPr>
                <w:p>
                  <w:pPr>
                    <w:adjustRightInd w:val="0"/>
                    <w:snapToGrid w:val="0"/>
                    <w:jc w:val="center"/>
                    <w:rPr>
                      <w:color w:val="auto"/>
                      <w:szCs w:val="21"/>
                    </w:rPr>
                  </w:pPr>
                  <w:r>
                    <w:rPr>
                      <w:color w:val="auto"/>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8" w:type="dxa"/>
                  <w:vMerge w:val="continue"/>
                  <w:vAlign w:val="center"/>
                </w:tcPr>
                <w:p>
                  <w:pPr>
                    <w:adjustRightInd w:val="0"/>
                    <w:snapToGrid w:val="0"/>
                    <w:jc w:val="center"/>
                    <w:rPr>
                      <w:color w:val="auto"/>
                      <w:szCs w:val="21"/>
                    </w:rPr>
                  </w:pPr>
                </w:p>
              </w:tc>
              <w:tc>
                <w:tcPr>
                  <w:tcW w:w="1820" w:type="dxa"/>
                  <w:gridSpan w:val="2"/>
                  <w:vAlign w:val="center"/>
                </w:tcPr>
                <w:p>
                  <w:pPr>
                    <w:adjustRightInd w:val="0"/>
                    <w:snapToGrid w:val="0"/>
                    <w:jc w:val="center"/>
                    <w:rPr>
                      <w:color w:val="auto"/>
                      <w:szCs w:val="21"/>
                    </w:rPr>
                  </w:pPr>
                  <w:r>
                    <w:rPr>
                      <w:rFonts w:hint="eastAsia"/>
                      <w:color w:val="auto"/>
                      <w:szCs w:val="21"/>
                      <w:highlight w:val="none"/>
                      <w:lang w:eastAsia="zh-CN"/>
                    </w:rPr>
                    <w:t>环境风险</w:t>
                  </w:r>
                </w:p>
              </w:tc>
              <w:tc>
                <w:tcPr>
                  <w:tcW w:w="5190" w:type="dxa"/>
                  <w:vAlign w:val="center"/>
                </w:tcPr>
                <w:p>
                  <w:pPr>
                    <w:adjustRightInd w:val="0"/>
                    <w:snapToGrid w:val="0"/>
                    <w:jc w:val="center"/>
                    <w:rPr>
                      <w:color w:val="auto"/>
                      <w:kern w:val="0"/>
                      <w:szCs w:val="21"/>
                    </w:rPr>
                  </w:pPr>
                  <w:r>
                    <w:rPr>
                      <w:rFonts w:hint="eastAsia"/>
                      <w:color w:val="auto"/>
                      <w:kern w:val="0"/>
                      <w:szCs w:val="21"/>
                      <w:highlight w:val="none"/>
                      <w:lang w:eastAsia="zh-CN"/>
                    </w:rPr>
                    <w:t>建立规范的环境管理制度，加强对项目工程建设区的巡检工作</w:t>
                  </w:r>
                </w:p>
              </w:tc>
              <w:tc>
                <w:tcPr>
                  <w:tcW w:w="792" w:type="dxa"/>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08" w:type="dxa"/>
                  <w:vMerge w:val="continue"/>
                  <w:vAlign w:val="center"/>
                </w:tcPr>
                <w:p>
                  <w:pPr>
                    <w:adjustRightInd w:val="0"/>
                    <w:snapToGrid w:val="0"/>
                    <w:jc w:val="center"/>
                    <w:rPr>
                      <w:color w:val="auto"/>
                      <w:szCs w:val="21"/>
                    </w:rPr>
                  </w:pPr>
                </w:p>
              </w:tc>
              <w:tc>
                <w:tcPr>
                  <w:tcW w:w="1820" w:type="dxa"/>
                  <w:gridSpan w:val="2"/>
                  <w:vAlign w:val="center"/>
                </w:tcPr>
                <w:p>
                  <w:pPr>
                    <w:adjustRightInd w:val="0"/>
                    <w:snapToGrid w:val="0"/>
                    <w:jc w:val="center"/>
                    <w:rPr>
                      <w:color w:val="auto"/>
                      <w:szCs w:val="21"/>
                    </w:rPr>
                  </w:pPr>
                  <w:r>
                    <w:rPr>
                      <w:color w:val="auto"/>
                      <w:szCs w:val="21"/>
                      <w:highlight w:val="none"/>
                    </w:rPr>
                    <w:t>环境监测</w:t>
                  </w:r>
                </w:p>
              </w:tc>
              <w:tc>
                <w:tcPr>
                  <w:tcW w:w="5190" w:type="dxa"/>
                  <w:vAlign w:val="center"/>
                </w:tcPr>
                <w:p>
                  <w:pPr>
                    <w:adjustRightInd w:val="0"/>
                    <w:snapToGrid w:val="0"/>
                    <w:jc w:val="center"/>
                    <w:rPr>
                      <w:color w:val="auto"/>
                      <w:spacing w:val="-6"/>
                      <w:szCs w:val="21"/>
                    </w:rPr>
                  </w:pPr>
                  <w:r>
                    <w:rPr>
                      <w:color w:val="auto"/>
                      <w:kern w:val="0"/>
                      <w:szCs w:val="21"/>
                      <w:highlight w:val="none"/>
                    </w:rPr>
                    <w:t>根据</w:t>
                  </w:r>
                  <w:r>
                    <w:rPr>
                      <w:rFonts w:hint="eastAsia"/>
                      <w:color w:val="auto"/>
                      <w:kern w:val="0"/>
                      <w:szCs w:val="21"/>
                      <w:highlight w:val="none"/>
                      <w:lang w:eastAsia="zh-CN"/>
                    </w:rPr>
                    <w:t>五</w:t>
                  </w:r>
                  <w:r>
                    <w:rPr>
                      <w:rFonts w:hint="eastAsia"/>
                      <w:color w:val="auto"/>
                      <w:kern w:val="0"/>
                      <w:szCs w:val="21"/>
                      <w:highlight w:val="none"/>
                      <w:lang w:val="en-US" w:eastAsia="zh-CN"/>
                    </w:rPr>
                    <w:t>.主要生态环境保护措施2.2环境监测</w:t>
                  </w:r>
                  <w:r>
                    <w:rPr>
                      <w:color w:val="auto"/>
                      <w:kern w:val="0"/>
                      <w:szCs w:val="21"/>
                      <w:highlight w:val="none"/>
                    </w:rPr>
                    <w:t>计划实施</w:t>
                  </w:r>
                </w:p>
              </w:tc>
              <w:tc>
                <w:tcPr>
                  <w:tcW w:w="792" w:type="dxa"/>
                  <w:vAlign w:val="center"/>
                </w:tcPr>
                <w:p>
                  <w:pPr>
                    <w:adjustRightInd w:val="0"/>
                    <w:snapToGrid w:val="0"/>
                    <w:jc w:val="center"/>
                    <w:rPr>
                      <w:color w:val="auto"/>
                      <w:szCs w:val="21"/>
                    </w:rPr>
                  </w:pPr>
                  <w:r>
                    <w:rPr>
                      <w:color w:val="auto"/>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128" w:type="dxa"/>
                  <w:gridSpan w:val="3"/>
                  <w:vAlign w:val="center"/>
                </w:tcPr>
                <w:p>
                  <w:pPr>
                    <w:adjustRightInd w:val="0"/>
                    <w:snapToGrid w:val="0"/>
                    <w:jc w:val="center"/>
                    <w:rPr>
                      <w:color w:val="auto"/>
                      <w:szCs w:val="21"/>
                    </w:rPr>
                  </w:pPr>
                  <w:r>
                    <w:rPr>
                      <w:color w:val="auto"/>
                      <w:szCs w:val="21"/>
                    </w:rPr>
                    <w:t>合计</w:t>
                  </w:r>
                </w:p>
              </w:tc>
              <w:tc>
                <w:tcPr>
                  <w:tcW w:w="5190" w:type="dxa"/>
                  <w:vAlign w:val="center"/>
                </w:tcPr>
                <w:p>
                  <w:pPr>
                    <w:pStyle w:val="12"/>
                    <w:snapToGrid w:val="0"/>
                    <w:jc w:val="center"/>
                    <w:rPr>
                      <w:rFonts w:ascii="Times New Roman" w:hAnsi="Times New Roman"/>
                      <w:bCs/>
                      <w:color w:val="auto"/>
                      <w:szCs w:val="21"/>
                    </w:rPr>
                  </w:pPr>
                  <w:r>
                    <w:rPr>
                      <w:rFonts w:ascii="Times New Roman" w:hAnsi="Times New Roman"/>
                      <w:bCs/>
                      <w:color w:val="auto"/>
                      <w:szCs w:val="21"/>
                    </w:rPr>
                    <w:t>/</w:t>
                  </w:r>
                </w:p>
              </w:tc>
              <w:tc>
                <w:tcPr>
                  <w:tcW w:w="792" w:type="dxa"/>
                  <w:vAlign w:val="center"/>
                </w:tcPr>
                <w:p>
                  <w:pPr>
                    <w:adjustRightInd w:val="0"/>
                    <w:snapToGrid w:val="0"/>
                    <w:jc w:val="center"/>
                    <w:rPr>
                      <w:color w:val="auto"/>
                      <w:szCs w:val="21"/>
                    </w:rPr>
                  </w:pPr>
                  <w:r>
                    <w:rPr>
                      <w:color w:val="auto"/>
                      <w:szCs w:val="21"/>
                    </w:rPr>
                    <w:t>113</w:t>
                  </w:r>
                </w:p>
              </w:tc>
            </w:tr>
          </w:tbl>
          <w:p>
            <w:pPr>
              <w:adjustRightInd w:val="0"/>
              <w:snapToGrid w:val="0"/>
              <w:rPr>
                <w:bCs/>
                <w:color w:val="auto"/>
                <w:spacing w:val="10"/>
                <w:sz w:val="24"/>
              </w:rPr>
            </w:pPr>
          </w:p>
          <w:p>
            <w:pPr>
              <w:adjustRightInd w:val="0"/>
              <w:snapToGrid w:val="0"/>
              <w:rPr>
                <w:bCs/>
                <w:color w:val="auto"/>
                <w:spacing w:val="10"/>
                <w:sz w:val="24"/>
              </w:rPr>
            </w:pPr>
          </w:p>
          <w:p>
            <w:pPr>
              <w:pStyle w:val="24"/>
              <w:ind w:firstLine="520"/>
              <w:rPr>
                <w:bCs/>
                <w:color w:val="auto"/>
                <w:spacing w:val="10"/>
              </w:rPr>
            </w:pPr>
          </w:p>
          <w:p>
            <w:pPr>
              <w:rPr>
                <w:bCs/>
                <w:color w:val="auto"/>
                <w:spacing w:val="10"/>
                <w:sz w:val="24"/>
              </w:rPr>
            </w:pPr>
          </w:p>
          <w:p>
            <w:pPr>
              <w:pStyle w:val="2"/>
              <w:ind w:firstLine="210"/>
              <w:rPr>
                <w:rFonts w:hint="eastAsia"/>
                <w:color w:val="auto"/>
              </w:rPr>
            </w:pPr>
          </w:p>
          <w:p>
            <w:pPr>
              <w:rPr>
                <w:rFonts w:hint="eastAsia"/>
                <w:color w:val="auto"/>
              </w:rPr>
            </w:pPr>
          </w:p>
          <w:p>
            <w:pPr>
              <w:pStyle w:val="2"/>
              <w:rPr>
                <w:rFonts w:hint="eastAsia"/>
                <w:color w:val="auto"/>
              </w:rPr>
            </w:pPr>
            <w:r>
              <w:rPr>
                <w:rFonts w:hint="eastAsia"/>
                <w:color w:val="auto"/>
              </w:rPr>
              <w:br w:type="textWrapping"/>
            </w:r>
            <w:r>
              <w:rPr>
                <w:rFonts w:hint="eastAsia"/>
                <w:color w:val="auto"/>
              </w:rPr>
              <w:br w:type="textWrapping"/>
            </w:r>
            <w:r>
              <w:rPr>
                <w:rFonts w:hint="eastAsia"/>
                <w:color w:val="auto"/>
              </w:rPr>
              <w:br w:type="textWrapping"/>
            </w:r>
            <w:r>
              <w:rPr>
                <w:rFonts w:hint="eastAsia"/>
                <w:color w:val="auto"/>
              </w:rPr>
              <w:br w:type="textWrapping"/>
            </w:r>
            <w:r>
              <w:rPr>
                <w:rFonts w:hint="eastAsia"/>
                <w:color w:val="auto"/>
              </w:rPr>
              <w:br w:type="textWrapping"/>
            </w:r>
            <w:r>
              <w:rPr>
                <w:rFonts w:hint="eastAsia"/>
                <w:color w:val="auto"/>
              </w:rPr>
              <w:br w:type="textWrapping"/>
            </w:r>
            <w:r>
              <w:rPr>
                <w:rFonts w:hint="eastAsia"/>
                <w:color w:val="auto"/>
              </w:rPr>
              <w:br w:type="textWrapping"/>
            </w:r>
            <w:r>
              <w:rPr>
                <w:rFonts w:hint="eastAsia"/>
                <w:color w:val="auto"/>
              </w:rPr>
              <w:br w:type="textWrapping"/>
            </w:r>
            <w:r>
              <w:rPr>
                <w:rFonts w:hint="eastAsia"/>
                <w:color w:val="auto"/>
              </w:rPr>
              <w:br w:type="textWrapping"/>
            </w:r>
            <w:r>
              <w:rPr>
                <w:rFonts w:hint="eastAsia"/>
                <w:color w:val="auto"/>
              </w:rPr>
              <w:br w:type="textWrapping"/>
            </w:r>
            <w:r>
              <w:rPr>
                <w:rFonts w:hint="eastAsia"/>
                <w:color w:val="auto"/>
              </w:rPr>
              <w:br w:type="textWrapping"/>
            </w:r>
            <w:r>
              <w:rPr>
                <w:rFonts w:hint="eastAsia"/>
                <w:color w:val="auto"/>
              </w:rPr>
              <w:br w:type="textWrapping"/>
            </w:r>
          </w:p>
          <w:p>
            <w:pPr>
              <w:adjustRightInd w:val="0"/>
              <w:snapToGrid w:val="0"/>
              <w:rPr>
                <w:bCs/>
                <w:color w:val="auto"/>
                <w:spacing w:val="10"/>
                <w:sz w:val="24"/>
              </w:rPr>
            </w:pPr>
          </w:p>
        </w:tc>
      </w:tr>
    </w:tbl>
    <w:p>
      <w:pPr>
        <w:rPr>
          <w:color w:val="auto"/>
          <w:sz w:val="24"/>
        </w:rPr>
        <w:sectPr>
          <w:pgSz w:w="11907" w:h="16840"/>
          <w:pgMar w:top="1440" w:right="1797" w:bottom="1440" w:left="1797" w:header="851" w:footer="1077" w:gutter="0"/>
          <w:cols w:space="720" w:num="1"/>
          <w:docGrid w:linePitch="312" w:charSpace="0"/>
        </w:sectPr>
      </w:pPr>
    </w:p>
    <w:p>
      <w:pPr>
        <w:adjustRightInd w:val="0"/>
        <w:snapToGrid w:val="0"/>
        <w:outlineLvl w:val="0"/>
        <w:rPr>
          <w:b/>
          <w:color w:val="auto"/>
          <w:sz w:val="30"/>
          <w:szCs w:val="30"/>
        </w:rPr>
      </w:pPr>
      <w:r>
        <w:rPr>
          <w:b/>
          <w:color w:val="auto"/>
          <w:sz w:val="30"/>
          <w:szCs w:val="30"/>
        </w:rPr>
        <w:t>六、生态环境保护措施监督检查清单</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5146"/>
        <w:gridCol w:w="2117"/>
        <w:gridCol w:w="3373"/>
        <w:gridCol w:w="2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3" w:type="pct"/>
            <w:vMerge w:val="restart"/>
            <w:tcBorders>
              <w:tl2br w:val="single" w:color="auto" w:sz="4" w:space="0"/>
            </w:tcBorders>
            <w:noWrap w:val="0"/>
            <w:vAlign w:val="top"/>
          </w:tcPr>
          <w:p>
            <w:pPr>
              <w:pStyle w:val="17"/>
              <w:adjustRightInd w:val="0"/>
              <w:snapToGrid w:val="0"/>
              <w:spacing w:before="72" w:beforeLines="30" w:beforeAutospacing="0" w:after="0" w:afterAutospacing="0"/>
              <w:jc w:val="center"/>
              <w:outlineLvl w:val="0"/>
              <w:rPr>
                <w:rFonts w:ascii="Times New Roman" w:hAnsi="Times New Roman"/>
                <w:b/>
                <w:bCs/>
                <w:color w:val="auto"/>
                <w:kern w:val="2"/>
                <w:sz w:val="21"/>
                <w:szCs w:val="21"/>
              </w:rPr>
            </w:pPr>
            <w:r>
              <w:rPr>
                <w:rFonts w:ascii="Times New Roman" w:hAnsi="Times New Roman"/>
                <w:b/>
                <w:bCs/>
                <w:color w:val="auto"/>
                <w:kern w:val="2"/>
                <w:sz w:val="21"/>
                <w:szCs w:val="21"/>
              </w:rPr>
              <w:t xml:space="preserve">       内容</w:t>
            </w:r>
          </w:p>
          <w:p>
            <w:pPr>
              <w:pStyle w:val="17"/>
              <w:adjustRightInd w:val="0"/>
              <w:snapToGrid w:val="0"/>
              <w:spacing w:before="0" w:beforeAutospacing="0" w:after="0" w:afterAutospacing="0" w:line="14" w:lineRule="auto"/>
              <w:outlineLvl w:val="0"/>
              <w:rPr>
                <w:rFonts w:ascii="Times New Roman" w:hAnsi="Times New Roman"/>
                <w:b/>
                <w:bCs/>
                <w:color w:val="auto"/>
                <w:kern w:val="2"/>
                <w:sz w:val="21"/>
                <w:szCs w:val="21"/>
              </w:rPr>
            </w:pPr>
            <w:r>
              <w:rPr>
                <w:rFonts w:ascii="Times New Roman" w:hAnsi="Times New Roman"/>
                <w:b/>
                <w:bCs/>
                <w:color w:val="auto"/>
                <w:kern w:val="2"/>
                <w:sz w:val="21"/>
                <w:szCs w:val="21"/>
              </w:rPr>
              <w:t xml:space="preserve">  </w:t>
            </w:r>
          </w:p>
          <w:p>
            <w:pPr>
              <w:pStyle w:val="17"/>
              <w:adjustRightInd w:val="0"/>
              <w:snapToGrid w:val="0"/>
              <w:spacing w:before="0" w:beforeAutospacing="0" w:after="0" w:afterAutospacing="0"/>
              <w:outlineLvl w:val="0"/>
              <w:rPr>
                <w:rFonts w:ascii="Times New Roman" w:hAnsi="Times New Roman"/>
                <w:b/>
                <w:bCs/>
                <w:color w:val="auto"/>
                <w:kern w:val="2"/>
                <w:sz w:val="21"/>
                <w:szCs w:val="21"/>
              </w:rPr>
            </w:pPr>
            <w:r>
              <w:rPr>
                <w:rFonts w:ascii="Times New Roman" w:hAnsi="Times New Roman"/>
                <w:b/>
                <w:bCs/>
                <w:color w:val="auto"/>
                <w:kern w:val="2"/>
                <w:sz w:val="21"/>
                <w:szCs w:val="21"/>
              </w:rPr>
              <w:t>要素</w:t>
            </w:r>
          </w:p>
        </w:tc>
        <w:tc>
          <w:tcPr>
            <w:tcW w:w="2572" w:type="pct"/>
            <w:gridSpan w:val="2"/>
            <w:noWrap w:val="0"/>
            <w:vAlign w:val="center"/>
          </w:tcPr>
          <w:p>
            <w:pPr>
              <w:pStyle w:val="17"/>
              <w:adjustRightInd w:val="0"/>
              <w:snapToGrid w:val="0"/>
              <w:spacing w:before="0" w:beforeAutospacing="0" w:after="0" w:afterAutospacing="0"/>
              <w:jc w:val="center"/>
              <w:outlineLvl w:val="0"/>
              <w:rPr>
                <w:rFonts w:ascii="Times New Roman" w:hAnsi="Times New Roman"/>
                <w:b/>
                <w:bCs/>
                <w:color w:val="auto"/>
                <w:kern w:val="2"/>
                <w:sz w:val="21"/>
                <w:szCs w:val="21"/>
              </w:rPr>
            </w:pPr>
            <w:r>
              <w:rPr>
                <w:rFonts w:ascii="Times New Roman" w:hAnsi="Times New Roman"/>
                <w:b/>
                <w:bCs/>
                <w:color w:val="auto"/>
                <w:kern w:val="2"/>
                <w:sz w:val="21"/>
                <w:szCs w:val="21"/>
              </w:rPr>
              <w:t>施工期</w:t>
            </w:r>
          </w:p>
        </w:tc>
        <w:tc>
          <w:tcPr>
            <w:tcW w:w="1923" w:type="pct"/>
            <w:gridSpan w:val="2"/>
            <w:noWrap w:val="0"/>
            <w:vAlign w:val="center"/>
          </w:tcPr>
          <w:p>
            <w:pPr>
              <w:pStyle w:val="17"/>
              <w:adjustRightInd w:val="0"/>
              <w:snapToGrid w:val="0"/>
              <w:spacing w:before="0" w:beforeAutospacing="0" w:after="0" w:afterAutospacing="0"/>
              <w:jc w:val="center"/>
              <w:outlineLvl w:val="0"/>
              <w:rPr>
                <w:rFonts w:ascii="Times New Roman" w:hAnsi="Times New Roman"/>
                <w:b/>
                <w:bCs/>
                <w:color w:val="auto"/>
                <w:kern w:val="2"/>
                <w:sz w:val="21"/>
                <w:szCs w:val="21"/>
              </w:rPr>
            </w:pPr>
            <w:r>
              <w:rPr>
                <w:rFonts w:ascii="Times New Roman" w:hAnsi="Times New Roman"/>
                <w:b/>
                <w:bCs/>
                <w:color w:val="auto"/>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3" w:type="pct"/>
            <w:vMerge w:val="continue"/>
            <w:noWrap w:val="0"/>
            <w:vAlign w:val="top"/>
          </w:tcPr>
          <w:p>
            <w:pPr>
              <w:pStyle w:val="17"/>
              <w:adjustRightInd w:val="0"/>
              <w:snapToGrid w:val="0"/>
              <w:spacing w:before="0" w:beforeAutospacing="0" w:after="0" w:afterAutospacing="0"/>
              <w:ind w:firstLine="840"/>
              <w:jc w:val="center"/>
              <w:outlineLvl w:val="0"/>
              <w:rPr>
                <w:rFonts w:ascii="Times New Roman" w:hAnsi="Times New Roman"/>
                <w:b/>
                <w:bCs/>
                <w:color w:val="auto"/>
                <w:kern w:val="2"/>
                <w:sz w:val="21"/>
                <w:szCs w:val="21"/>
              </w:rPr>
            </w:pPr>
          </w:p>
        </w:tc>
        <w:tc>
          <w:tcPr>
            <w:tcW w:w="1820" w:type="pct"/>
            <w:noWrap w:val="0"/>
            <w:vAlign w:val="center"/>
          </w:tcPr>
          <w:p>
            <w:pPr>
              <w:pStyle w:val="17"/>
              <w:adjustRightInd w:val="0"/>
              <w:snapToGrid w:val="0"/>
              <w:spacing w:before="0" w:beforeAutospacing="0" w:after="0" w:afterAutospacing="0"/>
              <w:jc w:val="center"/>
              <w:outlineLvl w:val="0"/>
              <w:rPr>
                <w:rFonts w:ascii="Times New Roman" w:hAnsi="Times New Roman"/>
                <w:b/>
                <w:bCs/>
                <w:color w:val="auto"/>
                <w:kern w:val="2"/>
                <w:sz w:val="21"/>
                <w:szCs w:val="21"/>
              </w:rPr>
            </w:pPr>
            <w:r>
              <w:rPr>
                <w:rFonts w:ascii="Times New Roman" w:hAnsi="Times New Roman"/>
                <w:b/>
                <w:bCs/>
                <w:color w:val="auto"/>
                <w:kern w:val="2"/>
                <w:sz w:val="21"/>
                <w:szCs w:val="21"/>
              </w:rPr>
              <w:t>环境保护措施</w:t>
            </w:r>
          </w:p>
        </w:tc>
        <w:tc>
          <w:tcPr>
            <w:tcW w:w="751" w:type="pct"/>
            <w:noWrap w:val="0"/>
            <w:vAlign w:val="center"/>
          </w:tcPr>
          <w:p>
            <w:pPr>
              <w:pStyle w:val="17"/>
              <w:adjustRightInd w:val="0"/>
              <w:snapToGrid w:val="0"/>
              <w:spacing w:before="0" w:beforeAutospacing="0" w:after="0" w:afterAutospacing="0"/>
              <w:jc w:val="center"/>
              <w:outlineLvl w:val="0"/>
              <w:rPr>
                <w:rFonts w:ascii="Times New Roman" w:hAnsi="Times New Roman"/>
                <w:b/>
                <w:bCs/>
                <w:color w:val="auto"/>
                <w:kern w:val="2"/>
                <w:sz w:val="21"/>
                <w:szCs w:val="21"/>
              </w:rPr>
            </w:pPr>
            <w:r>
              <w:rPr>
                <w:rFonts w:ascii="Times New Roman" w:hAnsi="Times New Roman"/>
                <w:b/>
                <w:bCs/>
                <w:color w:val="auto"/>
                <w:kern w:val="2"/>
                <w:sz w:val="21"/>
                <w:szCs w:val="21"/>
              </w:rPr>
              <w:t>验收要求</w:t>
            </w:r>
          </w:p>
        </w:tc>
        <w:tc>
          <w:tcPr>
            <w:tcW w:w="1195" w:type="pct"/>
            <w:noWrap w:val="0"/>
            <w:vAlign w:val="center"/>
          </w:tcPr>
          <w:p>
            <w:pPr>
              <w:pStyle w:val="17"/>
              <w:adjustRightInd w:val="0"/>
              <w:snapToGrid w:val="0"/>
              <w:spacing w:before="0" w:beforeAutospacing="0" w:after="0" w:afterAutospacing="0"/>
              <w:jc w:val="center"/>
              <w:outlineLvl w:val="0"/>
              <w:rPr>
                <w:rFonts w:ascii="Times New Roman" w:hAnsi="Times New Roman"/>
                <w:b/>
                <w:bCs/>
                <w:color w:val="auto"/>
                <w:kern w:val="2"/>
                <w:sz w:val="21"/>
                <w:szCs w:val="21"/>
              </w:rPr>
            </w:pPr>
            <w:r>
              <w:rPr>
                <w:rFonts w:ascii="Times New Roman" w:hAnsi="Times New Roman"/>
                <w:b/>
                <w:bCs/>
                <w:color w:val="auto"/>
                <w:kern w:val="2"/>
                <w:sz w:val="21"/>
                <w:szCs w:val="21"/>
              </w:rPr>
              <w:t>环境保护措施</w:t>
            </w:r>
          </w:p>
        </w:tc>
        <w:tc>
          <w:tcPr>
            <w:tcW w:w="728" w:type="pct"/>
            <w:noWrap w:val="0"/>
            <w:vAlign w:val="center"/>
          </w:tcPr>
          <w:p>
            <w:pPr>
              <w:pStyle w:val="17"/>
              <w:adjustRightInd w:val="0"/>
              <w:snapToGrid w:val="0"/>
              <w:spacing w:before="0" w:beforeAutospacing="0" w:after="0" w:afterAutospacing="0"/>
              <w:jc w:val="center"/>
              <w:outlineLvl w:val="0"/>
              <w:rPr>
                <w:rFonts w:ascii="Times New Roman" w:hAnsi="Times New Roman"/>
                <w:b/>
                <w:bCs/>
                <w:color w:val="auto"/>
                <w:kern w:val="2"/>
                <w:sz w:val="21"/>
                <w:szCs w:val="21"/>
              </w:rPr>
            </w:pPr>
            <w:r>
              <w:rPr>
                <w:rFonts w:ascii="Times New Roman" w:hAnsi="Times New Roman"/>
                <w:b/>
                <w:bCs/>
                <w:color w:val="auto"/>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陆生生态</w:t>
            </w:r>
          </w:p>
        </w:tc>
        <w:tc>
          <w:tcPr>
            <w:tcW w:w="1820" w:type="pct"/>
            <w:noWrap w:val="0"/>
            <w:vAlign w:val="center"/>
          </w:tcPr>
          <w:p>
            <w:pPr>
              <w:adjustRightInd w:val="0"/>
              <w:snapToGrid w:val="0"/>
              <w:rPr>
                <w:color w:val="auto"/>
                <w:szCs w:val="21"/>
              </w:rPr>
            </w:pPr>
            <w:r>
              <w:rPr>
                <w:color w:val="auto"/>
                <w:szCs w:val="21"/>
              </w:rPr>
              <w:t>1、制定完整的施工计划，合理安排施工进度；根据回填计划，合理布局堆土场位置，制定土方暂存方案；</w:t>
            </w:r>
          </w:p>
          <w:p>
            <w:pPr>
              <w:adjustRightInd w:val="0"/>
              <w:snapToGrid w:val="0"/>
              <w:rPr>
                <w:color w:val="auto"/>
                <w:szCs w:val="21"/>
              </w:rPr>
            </w:pPr>
            <w:r>
              <w:rPr>
                <w:color w:val="auto"/>
                <w:szCs w:val="21"/>
              </w:rPr>
              <w:t>2、加强对施工人员的教育，禁止施工人员偷猎野生动物，严禁挖掘区域内野生植物；</w:t>
            </w:r>
          </w:p>
          <w:p>
            <w:pPr>
              <w:adjustRightInd w:val="0"/>
              <w:snapToGrid w:val="0"/>
              <w:rPr>
                <w:color w:val="auto"/>
                <w:szCs w:val="21"/>
              </w:rPr>
            </w:pPr>
            <w:r>
              <w:rPr>
                <w:color w:val="auto"/>
                <w:szCs w:val="21"/>
              </w:rPr>
              <w:t>3、优化施工组织和制定严格的作业制度，开挖的土石方严格限制在征地范围内堆罝；</w:t>
            </w:r>
          </w:p>
          <w:p>
            <w:pPr>
              <w:adjustRightInd w:val="0"/>
              <w:snapToGrid w:val="0"/>
              <w:rPr>
                <w:color w:val="auto"/>
                <w:szCs w:val="21"/>
              </w:rPr>
            </w:pPr>
            <w:r>
              <w:rPr>
                <w:color w:val="auto"/>
                <w:szCs w:val="21"/>
              </w:rPr>
              <w:t>4、采用洒水防尘措施减少对周围动植物的影响；</w:t>
            </w:r>
          </w:p>
          <w:p>
            <w:pPr>
              <w:adjustRightInd w:val="0"/>
              <w:snapToGrid w:val="0"/>
              <w:rPr>
                <w:color w:val="auto"/>
                <w:szCs w:val="21"/>
              </w:rPr>
            </w:pPr>
            <w:r>
              <w:rPr>
                <w:color w:val="auto"/>
                <w:szCs w:val="21"/>
              </w:rPr>
              <w:t>5、临时用地均在</w:t>
            </w:r>
            <w:r>
              <w:rPr>
                <w:rFonts w:hint="eastAsia"/>
                <w:color w:val="auto"/>
                <w:szCs w:val="21"/>
                <w:lang w:eastAsia="zh-CN"/>
              </w:rPr>
              <w:t>矸石场</w:t>
            </w:r>
            <w:r>
              <w:rPr>
                <w:color w:val="auto"/>
                <w:szCs w:val="21"/>
              </w:rPr>
              <w:t>范围内，减少生态影响面积；临时堆土采用防尘网遮盖。</w:t>
            </w:r>
          </w:p>
        </w:tc>
        <w:tc>
          <w:tcPr>
            <w:tcW w:w="751" w:type="pct"/>
            <w:noWrap w:val="0"/>
            <w:vAlign w:val="center"/>
          </w:tcPr>
          <w:p>
            <w:pPr>
              <w:adjustRightInd w:val="0"/>
              <w:snapToGrid w:val="0"/>
              <w:jc w:val="center"/>
              <w:rPr>
                <w:color w:val="auto"/>
                <w:szCs w:val="21"/>
              </w:rPr>
            </w:pPr>
            <w:r>
              <w:rPr>
                <w:color w:val="auto"/>
                <w:szCs w:val="21"/>
              </w:rPr>
              <w:t>施工期各项措施</w:t>
            </w:r>
          </w:p>
          <w:p>
            <w:pPr>
              <w:adjustRightInd w:val="0"/>
              <w:snapToGrid w:val="0"/>
              <w:jc w:val="center"/>
              <w:rPr>
                <w:color w:val="auto"/>
                <w:szCs w:val="21"/>
              </w:rPr>
            </w:pPr>
            <w:r>
              <w:rPr>
                <w:color w:val="auto"/>
                <w:szCs w:val="21"/>
              </w:rPr>
              <w:t>是否落实</w:t>
            </w:r>
          </w:p>
        </w:tc>
        <w:tc>
          <w:tcPr>
            <w:tcW w:w="1195" w:type="pct"/>
            <w:noWrap w:val="0"/>
            <w:vAlign w:val="center"/>
          </w:tcPr>
          <w:p>
            <w:pPr>
              <w:adjustRightInd w:val="0"/>
              <w:snapToGrid w:val="0"/>
              <w:rPr>
                <w:color w:val="auto"/>
                <w:szCs w:val="21"/>
              </w:rPr>
            </w:pPr>
            <w:r>
              <w:rPr>
                <w:rFonts w:hint="eastAsia"/>
                <w:color w:val="auto"/>
                <w:szCs w:val="21"/>
                <w:lang w:val="en-US" w:eastAsia="zh-CN"/>
              </w:rPr>
              <w:t>1</w:t>
            </w:r>
            <w:r>
              <w:rPr>
                <w:color w:val="auto"/>
                <w:szCs w:val="21"/>
              </w:rPr>
              <w:t>、</w:t>
            </w:r>
            <w:r>
              <w:rPr>
                <w:rFonts w:hint="eastAsia"/>
                <w:color w:val="auto"/>
                <w:szCs w:val="21"/>
                <w:lang w:eastAsia="zh-CN"/>
              </w:rPr>
              <w:t>植被绿化与水土保持</w:t>
            </w:r>
            <w:r>
              <w:rPr>
                <w:color w:val="auto"/>
                <w:szCs w:val="21"/>
              </w:rPr>
              <w:t>：开展植物绿化措施及土地复垦；</w:t>
            </w:r>
          </w:p>
          <w:p>
            <w:pPr>
              <w:adjustRightInd w:val="0"/>
              <w:snapToGrid w:val="0"/>
              <w:rPr>
                <w:color w:val="auto"/>
                <w:szCs w:val="21"/>
              </w:rPr>
            </w:pPr>
            <w:r>
              <w:rPr>
                <w:rFonts w:hint="eastAsia"/>
                <w:color w:val="auto"/>
                <w:szCs w:val="21"/>
                <w:lang w:val="en-US" w:eastAsia="zh-CN"/>
              </w:rPr>
              <w:t>2</w:t>
            </w:r>
            <w:r>
              <w:rPr>
                <w:color w:val="auto"/>
                <w:szCs w:val="21"/>
              </w:rPr>
              <w:t>、落实水土保持方案提出的相关要求。</w:t>
            </w:r>
          </w:p>
        </w:tc>
        <w:tc>
          <w:tcPr>
            <w:tcW w:w="728" w:type="pct"/>
            <w:noWrap w:val="0"/>
            <w:vAlign w:val="center"/>
          </w:tcPr>
          <w:p>
            <w:pPr>
              <w:adjustRightInd w:val="0"/>
              <w:snapToGrid w:val="0"/>
              <w:jc w:val="center"/>
              <w:rPr>
                <w:color w:val="auto"/>
                <w:szCs w:val="21"/>
              </w:rPr>
            </w:pPr>
            <w:r>
              <w:rPr>
                <w:rFonts w:hint="eastAsia"/>
                <w:color w:val="auto"/>
                <w:szCs w:val="21"/>
                <w:lang w:eastAsia="zh-CN"/>
              </w:rPr>
              <w:t>项目工程区域</w:t>
            </w:r>
            <w:r>
              <w:rPr>
                <w:color w:val="auto"/>
                <w:szCs w:val="21"/>
              </w:rPr>
              <w:t>生态环境现状得到改善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水生生态</w:t>
            </w:r>
          </w:p>
        </w:tc>
        <w:tc>
          <w:tcPr>
            <w:tcW w:w="1820" w:type="pct"/>
            <w:noWrap w:val="0"/>
            <w:vAlign w:val="center"/>
          </w:tcPr>
          <w:p>
            <w:pPr>
              <w:adjustRightInd w:val="0"/>
              <w:snapToGrid w:val="0"/>
              <w:jc w:val="center"/>
              <w:rPr>
                <w:color w:val="auto"/>
                <w:szCs w:val="21"/>
              </w:rPr>
            </w:pPr>
            <w:r>
              <w:rPr>
                <w:color w:val="auto"/>
                <w:szCs w:val="21"/>
              </w:rPr>
              <w:t>无</w:t>
            </w:r>
          </w:p>
        </w:tc>
        <w:tc>
          <w:tcPr>
            <w:tcW w:w="751" w:type="pct"/>
            <w:noWrap w:val="0"/>
            <w:vAlign w:val="center"/>
          </w:tcPr>
          <w:p>
            <w:pPr>
              <w:adjustRightInd w:val="0"/>
              <w:snapToGrid w:val="0"/>
              <w:jc w:val="center"/>
              <w:rPr>
                <w:color w:val="auto"/>
                <w:szCs w:val="21"/>
              </w:rPr>
            </w:pPr>
            <w:r>
              <w:rPr>
                <w:color w:val="auto"/>
                <w:szCs w:val="21"/>
              </w:rPr>
              <w:t>无</w:t>
            </w:r>
          </w:p>
        </w:tc>
        <w:tc>
          <w:tcPr>
            <w:tcW w:w="1195" w:type="pct"/>
            <w:noWrap w:val="0"/>
            <w:vAlign w:val="center"/>
          </w:tcPr>
          <w:p>
            <w:pPr>
              <w:adjustRightInd w:val="0"/>
              <w:snapToGrid w:val="0"/>
              <w:jc w:val="center"/>
              <w:rPr>
                <w:color w:val="auto"/>
                <w:szCs w:val="21"/>
              </w:rPr>
            </w:pPr>
            <w:r>
              <w:rPr>
                <w:color w:val="auto"/>
                <w:szCs w:val="21"/>
              </w:rPr>
              <w:t>无</w:t>
            </w:r>
          </w:p>
        </w:tc>
        <w:tc>
          <w:tcPr>
            <w:tcW w:w="728" w:type="pct"/>
            <w:noWrap w:val="0"/>
            <w:vAlign w:val="center"/>
          </w:tcPr>
          <w:p>
            <w:pPr>
              <w:adjustRightInd w:val="0"/>
              <w:snapToGrid w:val="0"/>
              <w:jc w:val="center"/>
              <w:rPr>
                <w:color w:val="auto"/>
                <w:szCs w:val="21"/>
              </w:rPr>
            </w:pPr>
            <w:r>
              <w:rPr>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地表水环境</w:t>
            </w:r>
          </w:p>
        </w:tc>
        <w:tc>
          <w:tcPr>
            <w:tcW w:w="1820" w:type="pct"/>
            <w:noWrap w:val="0"/>
            <w:vAlign w:val="center"/>
          </w:tcPr>
          <w:p>
            <w:pPr>
              <w:adjustRightInd w:val="0"/>
              <w:snapToGrid w:val="0"/>
              <w:ind w:firstLine="420" w:firstLineChars="200"/>
              <w:rPr>
                <w:rFonts w:hint="eastAsia" w:eastAsia="宋体"/>
                <w:color w:val="auto"/>
                <w:szCs w:val="21"/>
                <w:lang w:eastAsia="zh-CN"/>
              </w:rPr>
            </w:pPr>
            <w:r>
              <w:rPr>
                <w:color w:val="auto"/>
                <w:szCs w:val="21"/>
              </w:rPr>
              <w:t>挡渣墙修筑砂浆拌和用水全部混入物料，水泥砂浆制备排水经沉淀后回用</w:t>
            </w:r>
            <w:r>
              <w:rPr>
                <w:rFonts w:hint="eastAsia"/>
                <w:color w:val="auto"/>
                <w:szCs w:val="21"/>
                <w:lang w:eastAsia="zh-CN"/>
              </w:rPr>
              <w:t>；</w:t>
            </w:r>
            <w:r>
              <w:rPr>
                <w:color w:val="auto"/>
                <w:szCs w:val="21"/>
              </w:rPr>
              <w:t>施工人员生活依托煤矿现有设施，不新增生活</w:t>
            </w:r>
            <w:r>
              <w:rPr>
                <w:rFonts w:hint="eastAsia"/>
                <w:color w:val="auto"/>
                <w:szCs w:val="21"/>
                <w:lang w:eastAsia="zh-CN"/>
              </w:rPr>
              <w:t>污水；</w:t>
            </w:r>
            <w:r>
              <w:rPr>
                <w:color w:val="auto"/>
                <w:szCs w:val="22"/>
              </w:rPr>
              <w:t>依托</w:t>
            </w:r>
            <w:r>
              <w:rPr>
                <w:rFonts w:hint="eastAsia"/>
                <w:color w:val="auto"/>
                <w:szCs w:val="22"/>
                <w:lang w:eastAsia="zh-CN"/>
              </w:rPr>
              <w:t>王洼二矿工业场地内</w:t>
            </w:r>
            <w:r>
              <w:rPr>
                <w:color w:val="auto"/>
                <w:szCs w:val="22"/>
              </w:rPr>
              <w:t>现有车辆冲洗设施，车辆冲洗废水经沉淀处理后循环使用。</w:t>
            </w:r>
          </w:p>
        </w:tc>
        <w:tc>
          <w:tcPr>
            <w:tcW w:w="751" w:type="pct"/>
            <w:noWrap w:val="0"/>
            <w:vAlign w:val="center"/>
          </w:tcPr>
          <w:p>
            <w:pPr>
              <w:adjustRightInd w:val="0"/>
              <w:snapToGrid w:val="0"/>
              <w:rPr>
                <w:color w:val="auto"/>
                <w:szCs w:val="21"/>
              </w:rPr>
            </w:pPr>
            <w:r>
              <w:rPr>
                <w:color w:val="auto"/>
                <w:szCs w:val="21"/>
              </w:rPr>
              <w:t>施工期各项措施是否落实</w:t>
            </w:r>
          </w:p>
        </w:tc>
        <w:tc>
          <w:tcPr>
            <w:tcW w:w="1195"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无</w:t>
            </w:r>
          </w:p>
        </w:tc>
        <w:tc>
          <w:tcPr>
            <w:tcW w:w="728"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地下水及土壤环境</w:t>
            </w:r>
          </w:p>
        </w:tc>
        <w:tc>
          <w:tcPr>
            <w:tcW w:w="1820" w:type="pct"/>
            <w:noWrap w:val="0"/>
            <w:vAlign w:val="center"/>
          </w:tcPr>
          <w:p>
            <w:pPr>
              <w:adjustRightInd w:val="0"/>
              <w:snapToGrid w:val="0"/>
              <w:jc w:val="center"/>
              <w:rPr>
                <w:color w:val="auto"/>
                <w:szCs w:val="21"/>
              </w:rPr>
            </w:pPr>
            <w:r>
              <w:rPr>
                <w:color w:val="auto"/>
                <w:szCs w:val="21"/>
              </w:rPr>
              <w:t>无</w:t>
            </w:r>
          </w:p>
        </w:tc>
        <w:tc>
          <w:tcPr>
            <w:tcW w:w="751" w:type="pct"/>
            <w:noWrap w:val="0"/>
            <w:vAlign w:val="center"/>
          </w:tcPr>
          <w:p>
            <w:pPr>
              <w:adjustRightInd w:val="0"/>
              <w:snapToGrid w:val="0"/>
              <w:jc w:val="center"/>
              <w:rPr>
                <w:color w:val="auto"/>
                <w:szCs w:val="21"/>
              </w:rPr>
            </w:pPr>
            <w:r>
              <w:rPr>
                <w:color w:val="auto"/>
                <w:szCs w:val="21"/>
              </w:rPr>
              <w:t>无</w:t>
            </w:r>
          </w:p>
        </w:tc>
        <w:tc>
          <w:tcPr>
            <w:tcW w:w="1195" w:type="pct"/>
            <w:noWrap w:val="0"/>
            <w:vAlign w:val="center"/>
          </w:tcPr>
          <w:p>
            <w:pPr>
              <w:adjustRightInd w:val="0"/>
              <w:snapToGrid w:val="0"/>
              <w:jc w:val="center"/>
              <w:rPr>
                <w:rFonts w:hint="eastAsia" w:eastAsia="宋体"/>
                <w:color w:val="auto"/>
                <w:lang w:eastAsia="zh-CN"/>
              </w:rPr>
            </w:pPr>
            <w:r>
              <w:rPr>
                <w:rFonts w:hint="eastAsia"/>
                <w:color w:val="auto"/>
                <w:lang w:eastAsia="zh-CN"/>
              </w:rPr>
              <w:t>无</w:t>
            </w:r>
          </w:p>
        </w:tc>
        <w:tc>
          <w:tcPr>
            <w:tcW w:w="728"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声环境</w:t>
            </w:r>
          </w:p>
        </w:tc>
        <w:tc>
          <w:tcPr>
            <w:tcW w:w="1820" w:type="pct"/>
            <w:noWrap w:val="0"/>
            <w:vAlign w:val="center"/>
          </w:tcPr>
          <w:p>
            <w:pPr>
              <w:adjustRightInd w:val="0"/>
              <w:snapToGrid w:val="0"/>
              <w:rPr>
                <w:color w:val="auto"/>
                <w:szCs w:val="21"/>
              </w:rPr>
            </w:pPr>
            <w:r>
              <w:rPr>
                <w:color w:val="auto"/>
                <w:szCs w:val="21"/>
              </w:rPr>
              <w:t>1、合理安排施工作业时间，尽量避免高噪声设备同时施工；</w:t>
            </w:r>
          </w:p>
          <w:p>
            <w:pPr>
              <w:adjustRightInd w:val="0"/>
              <w:snapToGrid w:val="0"/>
              <w:rPr>
                <w:color w:val="auto"/>
                <w:szCs w:val="21"/>
              </w:rPr>
            </w:pPr>
            <w:r>
              <w:rPr>
                <w:color w:val="auto"/>
                <w:szCs w:val="21"/>
              </w:rPr>
              <w:t>2、降低设备声级，尽量选用低噪声机械设备，同时做好施工机械的维护和保养，有效降低机械设备运转的噪声源强；</w:t>
            </w:r>
          </w:p>
          <w:p>
            <w:pPr>
              <w:adjustRightInd w:val="0"/>
              <w:snapToGrid w:val="0"/>
              <w:rPr>
                <w:color w:val="auto"/>
                <w:szCs w:val="21"/>
              </w:rPr>
            </w:pPr>
            <w:r>
              <w:rPr>
                <w:color w:val="auto"/>
                <w:szCs w:val="21"/>
              </w:rPr>
              <w:t>3、</w:t>
            </w:r>
            <w:r>
              <w:rPr>
                <w:rFonts w:hint="eastAsia"/>
                <w:color w:val="auto"/>
                <w:szCs w:val="21"/>
                <w:lang w:eastAsia="zh-CN"/>
              </w:rPr>
              <w:t>在砂石料</w:t>
            </w:r>
            <w:r>
              <w:rPr>
                <w:color w:val="auto"/>
                <w:szCs w:val="21"/>
              </w:rPr>
              <w:t>运输道路50m以内有居民区、学校等声环境敏感点分布时，应减速慢行，禁止鸣笛。</w:t>
            </w:r>
          </w:p>
        </w:tc>
        <w:tc>
          <w:tcPr>
            <w:tcW w:w="751" w:type="pct"/>
            <w:noWrap w:val="0"/>
            <w:vAlign w:val="center"/>
          </w:tcPr>
          <w:p>
            <w:pPr>
              <w:adjustRightInd w:val="0"/>
              <w:snapToGrid w:val="0"/>
              <w:rPr>
                <w:color w:val="auto"/>
                <w:szCs w:val="21"/>
              </w:rPr>
            </w:pPr>
            <w:r>
              <w:rPr>
                <w:color w:val="auto"/>
                <w:kern w:val="0"/>
                <w:szCs w:val="21"/>
                <w:highlight w:val="none"/>
              </w:rPr>
              <w:t>《建筑施工场界环境噪声排放标准》（GB12523-2011）</w:t>
            </w:r>
          </w:p>
        </w:tc>
        <w:tc>
          <w:tcPr>
            <w:tcW w:w="1195"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无</w:t>
            </w:r>
          </w:p>
        </w:tc>
        <w:tc>
          <w:tcPr>
            <w:tcW w:w="728"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振动</w:t>
            </w:r>
          </w:p>
        </w:tc>
        <w:tc>
          <w:tcPr>
            <w:tcW w:w="1820" w:type="pct"/>
            <w:noWrap w:val="0"/>
            <w:vAlign w:val="center"/>
          </w:tcPr>
          <w:p>
            <w:pPr>
              <w:adjustRightInd w:val="0"/>
              <w:snapToGrid w:val="0"/>
              <w:jc w:val="center"/>
              <w:rPr>
                <w:color w:val="auto"/>
                <w:szCs w:val="21"/>
              </w:rPr>
            </w:pPr>
            <w:r>
              <w:rPr>
                <w:color w:val="auto"/>
                <w:szCs w:val="21"/>
              </w:rPr>
              <w:t>无</w:t>
            </w:r>
          </w:p>
        </w:tc>
        <w:tc>
          <w:tcPr>
            <w:tcW w:w="751" w:type="pct"/>
            <w:noWrap w:val="0"/>
            <w:vAlign w:val="center"/>
          </w:tcPr>
          <w:p>
            <w:pPr>
              <w:adjustRightInd w:val="0"/>
              <w:snapToGrid w:val="0"/>
              <w:jc w:val="center"/>
              <w:rPr>
                <w:color w:val="auto"/>
                <w:szCs w:val="21"/>
              </w:rPr>
            </w:pPr>
            <w:r>
              <w:rPr>
                <w:color w:val="auto"/>
                <w:szCs w:val="21"/>
              </w:rPr>
              <w:t>无</w:t>
            </w:r>
          </w:p>
        </w:tc>
        <w:tc>
          <w:tcPr>
            <w:tcW w:w="1195" w:type="pct"/>
            <w:noWrap w:val="0"/>
            <w:vAlign w:val="center"/>
          </w:tcPr>
          <w:p>
            <w:pPr>
              <w:adjustRightInd w:val="0"/>
              <w:snapToGrid w:val="0"/>
              <w:jc w:val="center"/>
              <w:rPr>
                <w:color w:val="auto"/>
                <w:szCs w:val="21"/>
              </w:rPr>
            </w:pPr>
            <w:r>
              <w:rPr>
                <w:color w:val="auto"/>
                <w:szCs w:val="21"/>
              </w:rPr>
              <w:t>无</w:t>
            </w:r>
          </w:p>
        </w:tc>
        <w:tc>
          <w:tcPr>
            <w:tcW w:w="728" w:type="pct"/>
            <w:noWrap w:val="0"/>
            <w:vAlign w:val="center"/>
          </w:tcPr>
          <w:p>
            <w:pPr>
              <w:adjustRightInd w:val="0"/>
              <w:snapToGrid w:val="0"/>
              <w:jc w:val="center"/>
              <w:rPr>
                <w:color w:val="auto"/>
                <w:szCs w:val="21"/>
              </w:rPr>
            </w:pPr>
            <w:r>
              <w:rPr>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大气环境</w:t>
            </w:r>
          </w:p>
        </w:tc>
        <w:tc>
          <w:tcPr>
            <w:tcW w:w="1820" w:type="pct"/>
            <w:noWrap w:val="0"/>
            <w:vAlign w:val="center"/>
          </w:tcPr>
          <w:p>
            <w:pPr>
              <w:adjustRightInd w:val="0"/>
              <w:snapToGrid w:val="0"/>
              <w:rPr>
                <w:color w:val="auto"/>
                <w:szCs w:val="21"/>
              </w:rPr>
            </w:pPr>
            <w:r>
              <w:rPr>
                <w:color w:val="auto"/>
                <w:szCs w:val="21"/>
              </w:rPr>
              <w:t>1、施工作业场地扬尘：①制定施工扬尘治理实施方案，并严格落实；②施工现场和建筑体分别采取围挡措施；③土方开挖、运输和填筑、易产生扬尘工序等施工时，必须进行湿法作业，4级以上大风或重度污染天气时，严禁施工，并做好作业面覆盖工作；④对裸露土地面进行覆盖；⑤禁止现场配制、搅拌砂浆和混凝土。</w:t>
            </w:r>
          </w:p>
          <w:p>
            <w:pPr>
              <w:adjustRightInd w:val="0"/>
              <w:snapToGrid w:val="0"/>
              <w:rPr>
                <w:color w:val="auto"/>
                <w:szCs w:val="21"/>
              </w:rPr>
            </w:pPr>
            <w:r>
              <w:rPr>
                <w:color w:val="auto"/>
                <w:szCs w:val="21"/>
              </w:rPr>
              <w:t>2、机械尾气：施工机械和车辆加强管理和限速控制可有效</w:t>
            </w:r>
            <w:r>
              <w:rPr>
                <w:rFonts w:hint="eastAsia"/>
                <w:color w:val="auto"/>
                <w:szCs w:val="21"/>
              </w:rPr>
              <w:t>地</w:t>
            </w:r>
            <w:r>
              <w:rPr>
                <w:color w:val="auto"/>
                <w:szCs w:val="21"/>
              </w:rPr>
              <w:t>控制施工机械和运输车辆所引起的扬尘污染，同时可降低机动车尾气的排放。</w:t>
            </w:r>
          </w:p>
        </w:tc>
        <w:tc>
          <w:tcPr>
            <w:tcW w:w="751" w:type="pct"/>
            <w:noWrap w:val="0"/>
            <w:vAlign w:val="center"/>
          </w:tcPr>
          <w:p>
            <w:pPr>
              <w:adjustRightInd w:val="0"/>
              <w:snapToGrid w:val="0"/>
              <w:jc w:val="center"/>
              <w:rPr>
                <w:color w:val="auto"/>
                <w:szCs w:val="21"/>
              </w:rPr>
            </w:pPr>
            <w:r>
              <w:rPr>
                <w:color w:val="auto"/>
                <w:szCs w:val="21"/>
              </w:rPr>
              <w:t>施工期各项措施</w:t>
            </w:r>
          </w:p>
          <w:p>
            <w:pPr>
              <w:adjustRightInd w:val="0"/>
              <w:snapToGrid w:val="0"/>
              <w:jc w:val="center"/>
              <w:rPr>
                <w:color w:val="auto"/>
                <w:szCs w:val="21"/>
              </w:rPr>
            </w:pPr>
            <w:r>
              <w:rPr>
                <w:color w:val="auto"/>
                <w:szCs w:val="21"/>
              </w:rPr>
              <w:t>是否落实</w:t>
            </w:r>
          </w:p>
        </w:tc>
        <w:tc>
          <w:tcPr>
            <w:tcW w:w="1195"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无</w:t>
            </w:r>
          </w:p>
        </w:tc>
        <w:tc>
          <w:tcPr>
            <w:tcW w:w="728"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固体废物</w:t>
            </w:r>
          </w:p>
        </w:tc>
        <w:tc>
          <w:tcPr>
            <w:tcW w:w="1820" w:type="pct"/>
            <w:noWrap w:val="0"/>
            <w:vAlign w:val="center"/>
          </w:tcPr>
          <w:p>
            <w:pPr>
              <w:adjustRightInd w:val="0"/>
              <w:snapToGrid w:val="0"/>
              <w:rPr>
                <w:rFonts w:hint="eastAsia" w:eastAsia="宋体"/>
                <w:color w:val="auto"/>
                <w:szCs w:val="21"/>
                <w:lang w:eastAsia="zh-CN"/>
              </w:rPr>
            </w:pPr>
            <w:r>
              <w:rPr>
                <w:color w:val="auto"/>
                <w:szCs w:val="21"/>
              </w:rPr>
              <w:t>1、</w:t>
            </w:r>
            <w:r>
              <w:rPr>
                <w:rFonts w:hint="eastAsia"/>
                <w:color w:val="auto"/>
                <w:szCs w:val="21"/>
                <w:highlight w:val="none"/>
                <w:lang w:eastAsia="zh-CN"/>
              </w:rPr>
              <w:t>施工过程开挖生产的弃土临时贮存于堆土场用于作业结束后的回填</w:t>
            </w:r>
            <w:r>
              <w:rPr>
                <w:color w:val="auto"/>
                <w:kern w:val="0"/>
                <w:szCs w:val="21"/>
                <w:highlight w:val="none"/>
              </w:rPr>
              <w:t>；</w:t>
            </w:r>
            <w:r>
              <w:rPr>
                <w:bCs/>
                <w:color w:val="auto"/>
                <w:szCs w:val="21"/>
                <w:highlight w:val="none"/>
              </w:rPr>
              <w:t>建筑垃圾集中收集，能综合利用的全部综合利用，不能利用的由建设单位负责</w:t>
            </w:r>
            <w:r>
              <w:rPr>
                <w:color w:val="auto"/>
                <w:highlight w:val="none"/>
              </w:rPr>
              <w:t>运至政府指定地点</w:t>
            </w:r>
            <w:r>
              <w:rPr>
                <w:rFonts w:hint="eastAsia"/>
                <w:color w:val="auto"/>
                <w:highlight w:val="none"/>
                <w:lang w:eastAsia="zh-CN"/>
              </w:rPr>
              <w:t>；</w:t>
            </w:r>
          </w:p>
          <w:p>
            <w:pPr>
              <w:adjustRightInd w:val="0"/>
              <w:snapToGrid w:val="0"/>
              <w:rPr>
                <w:color w:val="auto"/>
                <w:szCs w:val="21"/>
              </w:rPr>
            </w:pPr>
            <w:r>
              <w:rPr>
                <w:color w:val="auto"/>
                <w:szCs w:val="21"/>
              </w:rPr>
              <w:t>2、施工人员生活依托煤矿现有设施，不新增生活垃圾。</w:t>
            </w:r>
          </w:p>
        </w:tc>
        <w:tc>
          <w:tcPr>
            <w:tcW w:w="751" w:type="pct"/>
            <w:noWrap w:val="0"/>
            <w:vAlign w:val="center"/>
          </w:tcPr>
          <w:p>
            <w:pPr>
              <w:adjustRightInd w:val="0"/>
              <w:snapToGrid w:val="0"/>
              <w:jc w:val="center"/>
              <w:rPr>
                <w:color w:val="auto"/>
                <w:szCs w:val="21"/>
              </w:rPr>
            </w:pPr>
            <w:r>
              <w:rPr>
                <w:color w:val="auto"/>
                <w:szCs w:val="21"/>
              </w:rPr>
              <w:t>核实各项措施是否落实，是否存在弃土</w:t>
            </w:r>
          </w:p>
        </w:tc>
        <w:tc>
          <w:tcPr>
            <w:tcW w:w="1195"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无</w:t>
            </w:r>
          </w:p>
        </w:tc>
        <w:tc>
          <w:tcPr>
            <w:tcW w:w="728"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电磁环境</w:t>
            </w:r>
          </w:p>
        </w:tc>
        <w:tc>
          <w:tcPr>
            <w:tcW w:w="1820" w:type="pct"/>
            <w:noWrap w:val="0"/>
            <w:vAlign w:val="center"/>
          </w:tcPr>
          <w:p>
            <w:pPr>
              <w:adjustRightInd w:val="0"/>
              <w:snapToGrid w:val="0"/>
              <w:jc w:val="center"/>
              <w:rPr>
                <w:color w:val="auto"/>
                <w:szCs w:val="21"/>
              </w:rPr>
            </w:pPr>
            <w:r>
              <w:rPr>
                <w:color w:val="auto"/>
                <w:szCs w:val="21"/>
              </w:rPr>
              <w:t>无</w:t>
            </w:r>
          </w:p>
        </w:tc>
        <w:tc>
          <w:tcPr>
            <w:tcW w:w="751" w:type="pct"/>
            <w:noWrap w:val="0"/>
            <w:vAlign w:val="center"/>
          </w:tcPr>
          <w:p>
            <w:pPr>
              <w:adjustRightInd w:val="0"/>
              <w:snapToGrid w:val="0"/>
              <w:jc w:val="center"/>
              <w:rPr>
                <w:color w:val="auto"/>
                <w:szCs w:val="21"/>
              </w:rPr>
            </w:pPr>
            <w:r>
              <w:rPr>
                <w:color w:val="auto"/>
                <w:szCs w:val="21"/>
              </w:rPr>
              <w:t>无</w:t>
            </w:r>
          </w:p>
        </w:tc>
        <w:tc>
          <w:tcPr>
            <w:tcW w:w="1195" w:type="pct"/>
            <w:noWrap w:val="0"/>
            <w:vAlign w:val="center"/>
          </w:tcPr>
          <w:p>
            <w:pPr>
              <w:adjustRightInd w:val="0"/>
              <w:snapToGrid w:val="0"/>
              <w:jc w:val="center"/>
              <w:rPr>
                <w:color w:val="auto"/>
                <w:szCs w:val="21"/>
              </w:rPr>
            </w:pPr>
            <w:r>
              <w:rPr>
                <w:color w:val="auto"/>
                <w:szCs w:val="21"/>
              </w:rPr>
              <w:t>无</w:t>
            </w:r>
          </w:p>
        </w:tc>
        <w:tc>
          <w:tcPr>
            <w:tcW w:w="728" w:type="pct"/>
            <w:noWrap w:val="0"/>
            <w:vAlign w:val="center"/>
          </w:tcPr>
          <w:p>
            <w:pPr>
              <w:adjustRightInd w:val="0"/>
              <w:snapToGrid w:val="0"/>
              <w:jc w:val="center"/>
              <w:rPr>
                <w:color w:val="auto"/>
                <w:szCs w:val="21"/>
              </w:rPr>
            </w:pPr>
            <w:r>
              <w:rPr>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环境风险</w:t>
            </w:r>
          </w:p>
        </w:tc>
        <w:tc>
          <w:tcPr>
            <w:tcW w:w="1820" w:type="pct"/>
            <w:noWrap w:val="0"/>
            <w:vAlign w:val="center"/>
          </w:tcPr>
          <w:p>
            <w:pPr>
              <w:adjustRightInd w:val="0"/>
              <w:snapToGrid w:val="0"/>
              <w:jc w:val="center"/>
              <w:rPr>
                <w:color w:val="auto"/>
                <w:szCs w:val="21"/>
              </w:rPr>
            </w:pPr>
            <w:r>
              <w:rPr>
                <w:color w:val="auto"/>
                <w:szCs w:val="21"/>
                <w:highlight w:val="none"/>
              </w:rPr>
              <w:t>对</w:t>
            </w:r>
            <w:r>
              <w:rPr>
                <w:rFonts w:hint="eastAsia"/>
                <w:color w:val="auto"/>
                <w:szCs w:val="21"/>
                <w:highlight w:val="none"/>
                <w:lang w:eastAsia="zh-CN"/>
              </w:rPr>
              <w:t>施工区</w:t>
            </w:r>
            <w:r>
              <w:rPr>
                <w:color w:val="auto"/>
                <w:szCs w:val="21"/>
                <w:highlight w:val="none"/>
              </w:rPr>
              <w:t>设置边界线以及警示牌，运营单位加强管理、维护。</w:t>
            </w:r>
          </w:p>
        </w:tc>
        <w:tc>
          <w:tcPr>
            <w:tcW w:w="751" w:type="pct"/>
            <w:noWrap w:val="0"/>
            <w:vAlign w:val="center"/>
          </w:tcPr>
          <w:p>
            <w:pPr>
              <w:adjustRightInd w:val="0"/>
              <w:snapToGrid w:val="0"/>
              <w:jc w:val="center"/>
              <w:rPr>
                <w:color w:val="auto"/>
                <w:szCs w:val="21"/>
              </w:rPr>
            </w:pPr>
            <w:r>
              <w:rPr>
                <w:color w:val="auto"/>
                <w:szCs w:val="21"/>
              </w:rPr>
              <w:t>无</w:t>
            </w:r>
          </w:p>
        </w:tc>
        <w:tc>
          <w:tcPr>
            <w:tcW w:w="1195"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加强对防洪工程设施的巡检工作</w:t>
            </w:r>
          </w:p>
        </w:tc>
        <w:tc>
          <w:tcPr>
            <w:tcW w:w="728"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环境监测</w:t>
            </w:r>
          </w:p>
        </w:tc>
        <w:tc>
          <w:tcPr>
            <w:tcW w:w="1820" w:type="pct"/>
            <w:noWrap w:val="0"/>
            <w:vAlign w:val="center"/>
          </w:tcPr>
          <w:p>
            <w:pPr>
              <w:adjustRightInd w:val="0"/>
              <w:snapToGrid w:val="0"/>
              <w:jc w:val="center"/>
              <w:rPr>
                <w:color w:val="auto"/>
                <w:szCs w:val="21"/>
              </w:rPr>
            </w:pPr>
            <w:r>
              <w:rPr>
                <w:color w:val="auto"/>
                <w:szCs w:val="21"/>
              </w:rPr>
              <w:t>无</w:t>
            </w:r>
          </w:p>
        </w:tc>
        <w:tc>
          <w:tcPr>
            <w:tcW w:w="751" w:type="pct"/>
            <w:noWrap w:val="0"/>
            <w:vAlign w:val="center"/>
          </w:tcPr>
          <w:p>
            <w:pPr>
              <w:adjustRightInd w:val="0"/>
              <w:snapToGrid w:val="0"/>
              <w:jc w:val="center"/>
              <w:rPr>
                <w:color w:val="auto"/>
                <w:szCs w:val="21"/>
              </w:rPr>
            </w:pPr>
            <w:r>
              <w:rPr>
                <w:color w:val="auto"/>
                <w:szCs w:val="21"/>
              </w:rPr>
              <w:t>无</w:t>
            </w:r>
          </w:p>
        </w:tc>
        <w:tc>
          <w:tcPr>
            <w:tcW w:w="1195" w:type="pct"/>
            <w:noWrap w:val="0"/>
            <w:vAlign w:val="center"/>
          </w:tcPr>
          <w:p>
            <w:pPr>
              <w:adjustRightInd w:val="0"/>
              <w:snapToGrid w:val="0"/>
              <w:jc w:val="center"/>
              <w:rPr>
                <w:color w:val="auto"/>
                <w:szCs w:val="21"/>
              </w:rPr>
            </w:pPr>
            <w:r>
              <w:rPr>
                <w:color w:val="auto"/>
                <w:kern w:val="0"/>
                <w:szCs w:val="21"/>
                <w:highlight w:val="none"/>
              </w:rPr>
              <w:t>根据</w:t>
            </w:r>
            <w:r>
              <w:rPr>
                <w:rFonts w:hint="eastAsia"/>
                <w:color w:val="auto"/>
                <w:kern w:val="0"/>
                <w:szCs w:val="21"/>
                <w:highlight w:val="none"/>
                <w:lang w:eastAsia="zh-CN"/>
              </w:rPr>
              <w:t>五</w:t>
            </w:r>
            <w:r>
              <w:rPr>
                <w:rFonts w:hint="eastAsia"/>
                <w:color w:val="auto"/>
                <w:kern w:val="0"/>
                <w:szCs w:val="21"/>
                <w:highlight w:val="none"/>
                <w:lang w:val="en-US" w:eastAsia="zh-CN"/>
              </w:rPr>
              <w:t>.主要生态环境保护措施2.2环境监测</w:t>
            </w:r>
            <w:r>
              <w:rPr>
                <w:color w:val="auto"/>
                <w:kern w:val="0"/>
                <w:szCs w:val="21"/>
                <w:highlight w:val="none"/>
              </w:rPr>
              <w:t>计划实施</w:t>
            </w:r>
          </w:p>
        </w:tc>
        <w:tc>
          <w:tcPr>
            <w:tcW w:w="728" w:type="pct"/>
            <w:noWrap w:val="0"/>
            <w:vAlign w:val="center"/>
          </w:tcPr>
          <w:p>
            <w:pPr>
              <w:adjustRightInd w:val="0"/>
              <w:snapToGrid w:val="0"/>
              <w:jc w:val="center"/>
              <w:rPr>
                <w:color w:val="auto"/>
                <w:szCs w:val="21"/>
              </w:rPr>
            </w:pPr>
            <w:r>
              <w:rPr>
                <w:color w:val="auto"/>
                <w:kern w:val="0"/>
                <w:szCs w:val="21"/>
              </w:rPr>
              <w:t>满足</w:t>
            </w:r>
            <w:r>
              <w:rPr>
                <w:rFonts w:hint="eastAsia"/>
                <w:color w:val="auto"/>
                <w:kern w:val="0"/>
                <w:szCs w:val="21"/>
              </w:rPr>
              <w:t>《地下水质量标准》（GB/T14848-2017）Ⅲ类标准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3" w:type="pct"/>
            <w:noWrap w:val="0"/>
            <w:vAlign w:val="center"/>
          </w:tcPr>
          <w:p>
            <w:pPr>
              <w:adjustRightInd w:val="0"/>
              <w:snapToGrid w:val="0"/>
              <w:jc w:val="center"/>
              <w:rPr>
                <w:color w:val="auto"/>
                <w:szCs w:val="21"/>
              </w:rPr>
            </w:pPr>
            <w:r>
              <w:rPr>
                <w:color w:val="auto"/>
                <w:szCs w:val="21"/>
              </w:rPr>
              <w:t>其他</w:t>
            </w:r>
          </w:p>
        </w:tc>
        <w:tc>
          <w:tcPr>
            <w:tcW w:w="1820" w:type="pct"/>
            <w:noWrap w:val="0"/>
            <w:vAlign w:val="center"/>
          </w:tcPr>
          <w:p>
            <w:pPr>
              <w:adjustRightInd w:val="0"/>
              <w:snapToGrid w:val="0"/>
              <w:jc w:val="center"/>
              <w:rPr>
                <w:color w:val="auto"/>
                <w:szCs w:val="21"/>
              </w:rPr>
            </w:pPr>
            <w:r>
              <w:rPr>
                <w:color w:val="auto"/>
                <w:szCs w:val="21"/>
              </w:rPr>
              <w:t>无</w:t>
            </w:r>
          </w:p>
        </w:tc>
        <w:tc>
          <w:tcPr>
            <w:tcW w:w="751" w:type="pct"/>
            <w:noWrap w:val="0"/>
            <w:vAlign w:val="center"/>
          </w:tcPr>
          <w:p>
            <w:pPr>
              <w:adjustRightInd w:val="0"/>
              <w:snapToGrid w:val="0"/>
              <w:jc w:val="center"/>
              <w:rPr>
                <w:color w:val="auto"/>
                <w:szCs w:val="21"/>
              </w:rPr>
            </w:pPr>
            <w:r>
              <w:rPr>
                <w:color w:val="auto"/>
                <w:szCs w:val="21"/>
              </w:rPr>
              <w:t>无</w:t>
            </w:r>
          </w:p>
        </w:tc>
        <w:tc>
          <w:tcPr>
            <w:tcW w:w="1195" w:type="pct"/>
            <w:noWrap w:val="0"/>
            <w:vAlign w:val="center"/>
          </w:tcPr>
          <w:p>
            <w:pPr>
              <w:adjustRightInd w:val="0"/>
              <w:snapToGrid w:val="0"/>
              <w:jc w:val="center"/>
              <w:rPr>
                <w:color w:val="auto"/>
                <w:szCs w:val="21"/>
              </w:rPr>
            </w:pPr>
            <w:r>
              <w:rPr>
                <w:color w:val="auto"/>
                <w:szCs w:val="21"/>
              </w:rPr>
              <w:t>无</w:t>
            </w:r>
          </w:p>
        </w:tc>
        <w:tc>
          <w:tcPr>
            <w:tcW w:w="728" w:type="pct"/>
            <w:noWrap w:val="0"/>
            <w:vAlign w:val="center"/>
          </w:tcPr>
          <w:p>
            <w:pPr>
              <w:adjustRightInd w:val="0"/>
              <w:snapToGrid w:val="0"/>
              <w:jc w:val="center"/>
              <w:rPr>
                <w:color w:val="auto"/>
                <w:szCs w:val="21"/>
              </w:rPr>
            </w:pPr>
            <w:r>
              <w:rPr>
                <w:color w:val="auto"/>
                <w:szCs w:val="21"/>
              </w:rPr>
              <w:t>无</w:t>
            </w:r>
          </w:p>
        </w:tc>
      </w:tr>
    </w:tbl>
    <w:p>
      <w:pPr>
        <w:pStyle w:val="2"/>
        <w:rPr>
          <w:rFonts w:hint="default"/>
          <w:color w:val="auto"/>
          <w:lang w:val="en-US" w:eastAsia="zh-CN"/>
        </w:rPr>
        <w:sectPr>
          <w:pgSz w:w="16840" w:h="11907" w:orient="landscape"/>
          <w:pgMar w:top="1797" w:right="1440" w:bottom="1797" w:left="1440" w:header="851" w:footer="1077" w:gutter="0"/>
          <w:cols w:space="720" w:num="1"/>
          <w:docGrid w:linePitch="312" w:charSpace="0"/>
        </w:sectPr>
      </w:pPr>
    </w:p>
    <w:p>
      <w:pPr>
        <w:adjustRightInd w:val="0"/>
        <w:snapToGrid w:val="0"/>
        <w:outlineLvl w:val="0"/>
        <w:rPr>
          <w:b/>
          <w:color w:val="auto"/>
          <w:sz w:val="30"/>
          <w:szCs w:val="30"/>
        </w:rPr>
      </w:pPr>
      <w:r>
        <w:rPr>
          <w:b/>
          <w:color w:val="auto"/>
          <w:sz w:val="30"/>
          <w:szCs w:val="30"/>
        </w:rPr>
        <w:t>七、结论</w:t>
      </w:r>
    </w:p>
    <w:tbl>
      <w:tblPr>
        <w:tblStyle w:val="19"/>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6" w:hRule="atLeast"/>
          <w:jc w:val="center"/>
        </w:trPr>
        <w:tc>
          <w:tcPr>
            <w:tcW w:w="9289" w:type="dxa"/>
          </w:tcPr>
          <w:p>
            <w:pPr>
              <w:adjustRightInd w:val="0"/>
              <w:snapToGrid w:val="0"/>
              <w:spacing w:line="360" w:lineRule="auto"/>
              <w:ind w:firstLine="480" w:firstLineChars="200"/>
              <w:jc w:val="left"/>
              <w:rPr>
                <w:bCs/>
                <w:color w:val="auto"/>
                <w:kern w:val="0"/>
                <w:sz w:val="24"/>
                <w:lang w:bidi="ar"/>
              </w:rPr>
            </w:pPr>
            <w:r>
              <w:rPr>
                <w:rFonts w:hint="eastAsia"/>
                <w:color w:val="auto"/>
                <w:sz w:val="24"/>
              </w:rPr>
              <w:t>本项目位于</w:t>
            </w:r>
            <w:r>
              <w:rPr>
                <w:color w:val="auto"/>
                <w:sz w:val="24"/>
              </w:rPr>
              <w:t>固原市</w:t>
            </w:r>
            <w:r>
              <w:rPr>
                <w:rFonts w:hint="eastAsia"/>
                <w:color w:val="auto"/>
                <w:sz w:val="24"/>
              </w:rPr>
              <w:t>彭阳县王洼镇王洼二矿东北侧的王洼沟内</w:t>
            </w:r>
            <w:r>
              <w:rPr>
                <w:rFonts w:hint="eastAsia"/>
                <w:color w:val="auto"/>
                <w:sz w:val="24"/>
                <w:lang w:eastAsia="zh-CN"/>
              </w:rPr>
              <w:t>，</w:t>
            </w:r>
            <w:r>
              <w:rPr>
                <w:rFonts w:hint="eastAsia"/>
                <w:bCs/>
                <w:color w:val="auto"/>
                <w:kern w:val="0"/>
                <w:sz w:val="24"/>
                <w:lang w:bidi="ar"/>
              </w:rPr>
              <w:t>本次工程内容包括对范新庄水库原泄洪洞进行封堵处理，在水库左坝肩新建设</w:t>
            </w:r>
            <w:r>
              <w:rPr>
                <w:bCs/>
                <w:color w:val="auto"/>
                <w:kern w:val="0"/>
                <w:sz w:val="24"/>
                <w:lang w:bidi="ar"/>
              </w:rPr>
              <w:t>2</w:t>
            </w:r>
            <w:r>
              <w:rPr>
                <w:rFonts w:hint="eastAsia"/>
                <w:bCs/>
                <w:color w:val="auto"/>
                <w:kern w:val="0"/>
                <w:sz w:val="24"/>
                <w:lang w:bidi="ar"/>
              </w:rPr>
              <w:t>孔矩形泄洪洞1座，后接</w:t>
            </w:r>
            <w:r>
              <w:rPr>
                <w:bCs/>
                <w:color w:val="auto"/>
                <w:kern w:val="0"/>
                <w:sz w:val="24"/>
                <w:lang w:bidi="ar"/>
              </w:rPr>
              <w:t>项目区</w:t>
            </w:r>
            <w:r>
              <w:rPr>
                <w:rFonts w:hint="eastAsia"/>
                <w:bCs/>
                <w:color w:val="auto"/>
                <w:kern w:val="0"/>
                <w:sz w:val="24"/>
                <w:lang w:bidi="ar"/>
              </w:rPr>
              <w:t>排洪渠，排洪渠水平长</w:t>
            </w:r>
            <w:r>
              <w:rPr>
                <w:bCs/>
                <w:color w:val="auto"/>
                <w:kern w:val="0"/>
                <w:sz w:val="24"/>
                <w:lang w:bidi="ar"/>
              </w:rPr>
              <w:t>1690.5m</w:t>
            </w:r>
            <w:r>
              <w:rPr>
                <w:rFonts w:hint="eastAsia"/>
                <w:bCs/>
                <w:color w:val="auto"/>
                <w:kern w:val="0"/>
                <w:sz w:val="24"/>
                <w:lang w:bidi="ar"/>
              </w:rPr>
              <w:t>，由一级明渠、过路涵洞、二级明渠、陡坡、消力池及海漫组成；对矸石场上0.5万m</w:t>
            </w:r>
            <w:r>
              <w:rPr>
                <w:rFonts w:hint="eastAsia"/>
                <w:bCs/>
                <w:color w:val="auto"/>
                <w:kern w:val="0"/>
                <w:sz w:val="24"/>
                <w:vertAlign w:val="superscript"/>
                <w:lang w:bidi="ar"/>
              </w:rPr>
              <w:t>3</w:t>
            </w:r>
            <w:r>
              <w:rPr>
                <w:bCs/>
                <w:color w:val="auto"/>
                <w:kern w:val="0"/>
                <w:sz w:val="24"/>
                <w:lang w:bidi="ar"/>
              </w:rPr>
              <w:t>II类一般工业固体废物处置</w:t>
            </w:r>
            <w:r>
              <w:rPr>
                <w:rFonts w:hint="eastAsia"/>
                <w:bCs/>
                <w:color w:val="auto"/>
                <w:kern w:val="0"/>
                <w:sz w:val="24"/>
                <w:lang w:bidi="ar"/>
              </w:rPr>
              <w:t>场四周设置截洪渠，将水截留进入拟建主排洪渠排至下游沟道；在矸石场上游及拦渣坝下游沟道各设1处监测井，对地下水水质进行跟踪监测；矸石场表层沿排洪渠方向进行带坡平整，平整后复垦种植苜蓿，播种面积</w:t>
            </w:r>
            <w:r>
              <w:rPr>
                <w:bCs/>
                <w:color w:val="auto"/>
                <w:kern w:val="0"/>
                <w:sz w:val="24"/>
                <w:lang w:bidi="ar"/>
              </w:rPr>
              <w:t>2.5hm</w:t>
            </w:r>
            <w:r>
              <w:rPr>
                <w:bCs/>
                <w:color w:val="auto"/>
                <w:kern w:val="0"/>
                <w:sz w:val="24"/>
                <w:vertAlign w:val="superscript"/>
                <w:lang w:bidi="ar"/>
              </w:rPr>
              <w:t>2</w:t>
            </w:r>
            <w:r>
              <w:rPr>
                <w:rFonts w:hint="eastAsia"/>
                <w:bCs/>
                <w:color w:val="auto"/>
                <w:kern w:val="0"/>
                <w:sz w:val="24"/>
                <w:lang w:bidi="ar"/>
              </w:rPr>
              <w:t>。</w:t>
            </w:r>
          </w:p>
          <w:p>
            <w:pPr>
              <w:pStyle w:val="41"/>
              <w:widowControl w:val="0"/>
              <w:ind w:firstLine="480"/>
              <w:rPr>
                <w:bCs w:val="0"/>
                <w:color w:val="auto"/>
              </w:rPr>
            </w:pPr>
            <w:r>
              <w:rPr>
                <w:rFonts w:hint="eastAsia"/>
                <w:color w:val="auto"/>
                <w:lang w:eastAsia="zh-CN"/>
              </w:rPr>
              <w:t>本工程的实施</w:t>
            </w:r>
            <w:r>
              <w:rPr>
                <w:color w:val="auto"/>
              </w:rPr>
              <w:t>将</w:t>
            </w:r>
            <w:r>
              <w:rPr>
                <w:rFonts w:hint="eastAsia"/>
                <w:color w:val="auto"/>
                <w:lang w:eastAsia="zh-CN"/>
              </w:rPr>
              <w:t>会</w:t>
            </w:r>
            <w:r>
              <w:rPr>
                <w:color w:val="auto"/>
              </w:rPr>
              <w:t>提高</w:t>
            </w:r>
            <w:r>
              <w:rPr>
                <w:rFonts w:hint="eastAsia" w:cs="Times New Roman"/>
                <w:color w:val="auto"/>
                <w:sz w:val="24"/>
                <w:szCs w:val="22"/>
                <w:highlight w:val="none"/>
                <w:lang w:eastAsia="zh-CN"/>
              </w:rPr>
              <w:t>王洼二矿</w:t>
            </w:r>
            <w:r>
              <w:rPr>
                <w:rFonts w:hint="eastAsia"/>
                <w:bCs/>
                <w:color w:val="auto"/>
                <w:sz w:val="24"/>
                <w:szCs w:val="22"/>
              </w:rPr>
              <w:t>矸石场、岸坡治理工程、</w:t>
            </w:r>
            <w:r>
              <w:rPr>
                <w:bCs/>
                <w:color w:val="auto"/>
                <w:sz w:val="24"/>
                <w:szCs w:val="22"/>
              </w:rPr>
              <w:t>II类一般工业固体废物处置</w:t>
            </w:r>
            <w:r>
              <w:rPr>
                <w:rFonts w:hint="eastAsia"/>
                <w:bCs/>
                <w:color w:val="auto"/>
                <w:sz w:val="24"/>
                <w:szCs w:val="22"/>
              </w:rPr>
              <w:t>场</w:t>
            </w:r>
            <w:r>
              <w:rPr>
                <w:color w:val="auto"/>
              </w:rPr>
              <w:t>的防洪标准及防洪避险能力，使其能够抵御10</w:t>
            </w:r>
            <w:r>
              <w:rPr>
                <w:rFonts w:hint="eastAsia"/>
                <w:color w:val="auto"/>
              </w:rPr>
              <w:t>0</w:t>
            </w:r>
            <w:r>
              <w:rPr>
                <w:color w:val="auto"/>
              </w:rPr>
              <w:t>年一遇洪水的威胁，</w:t>
            </w:r>
            <w:r>
              <w:rPr>
                <w:rFonts w:hint="eastAsia"/>
                <w:color w:val="auto"/>
              </w:rPr>
              <w:t>能够保证</w:t>
            </w:r>
            <w:r>
              <w:rPr>
                <w:rFonts w:hint="eastAsia" w:cs="Times New Roman"/>
                <w:color w:val="auto"/>
                <w:sz w:val="24"/>
                <w:szCs w:val="22"/>
                <w:highlight w:val="none"/>
                <w:lang w:eastAsia="zh-CN"/>
              </w:rPr>
              <w:t>王洼二矿</w:t>
            </w:r>
            <w:r>
              <w:rPr>
                <w:rFonts w:hint="eastAsia"/>
                <w:bCs/>
                <w:color w:val="auto"/>
                <w:sz w:val="24"/>
                <w:szCs w:val="22"/>
              </w:rPr>
              <w:t>矸石场、岸坡治理工程、</w:t>
            </w:r>
            <w:r>
              <w:rPr>
                <w:bCs/>
                <w:color w:val="auto"/>
                <w:sz w:val="24"/>
                <w:szCs w:val="22"/>
              </w:rPr>
              <w:t>II类一般工业固体废物处置</w:t>
            </w:r>
            <w:r>
              <w:rPr>
                <w:rFonts w:hint="eastAsia"/>
                <w:bCs/>
                <w:color w:val="auto"/>
                <w:sz w:val="24"/>
                <w:szCs w:val="22"/>
              </w:rPr>
              <w:t>场</w:t>
            </w:r>
            <w:r>
              <w:rPr>
                <w:rFonts w:hint="eastAsia"/>
                <w:color w:val="auto"/>
              </w:rPr>
              <w:t>标准内洪水行洪畅通，保证矿区</w:t>
            </w:r>
            <w:r>
              <w:rPr>
                <w:color w:val="auto"/>
              </w:rPr>
              <w:t>人民群众生命</w:t>
            </w:r>
            <w:r>
              <w:rPr>
                <w:rFonts w:hint="eastAsia"/>
                <w:color w:val="auto"/>
              </w:rPr>
              <w:t>及</w:t>
            </w:r>
            <w:r>
              <w:rPr>
                <w:color w:val="auto"/>
              </w:rPr>
              <w:t>财产安全</w:t>
            </w:r>
            <w:r>
              <w:rPr>
                <w:rFonts w:hint="eastAsia"/>
                <w:color w:val="auto"/>
              </w:rPr>
              <w:t>；</w:t>
            </w:r>
            <w:r>
              <w:rPr>
                <w:color w:val="auto"/>
              </w:rPr>
              <w:t>保障项目区社会经济持续稳定、又好又快发展</w:t>
            </w:r>
            <w:r>
              <w:rPr>
                <w:rFonts w:hint="eastAsia"/>
                <w:color w:val="auto"/>
              </w:rPr>
              <w:t>；进一步改善矿区生态环境</w:t>
            </w:r>
            <w:r>
              <w:rPr>
                <w:color w:val="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sz w:val="24"/>
                <w:szCs w:val="22"/>
                <w:highlight w:val="none"/>
              </w:rPr>
            </w:pPr>
            <w:r>
              <w:rPr>
                <w:rFonts w:hint="eastAsia"/>
                <w:color w:val="auto"/>
                <w:sz w:val="24"/>
                <w:szCs w:val="22"/>
                <w:highlight w:val="none"/>
                <w:lang w:eastAsia="zh-CN"/>
              </w:rPr>
              <w:t>本工程所在位置</w:t>
            </w:r>
            <w:r>
              <w:rPr>
                <w:rFonts w:hint="eastAsia"/>
                <w:color w:val="auto"/>
                <w:sz w:val="24"/>
                <w:szCs w:val="22"/>
                <w:highlight w:val="none"/>
              </w:rPr>
              <w:t>不属于</w:t>
            </w:r>
            <w:r>
              <w:rPr>
                <w:color w:val="auto"/>
                <w:sz w:val="24"/>
                <w:szCs w:val="22"/>
                <w:highlight w:val="none"/>
              </w:rPr>
              <w:t>生态保护红线区域、永久基本农田集中区域和其他需要特别保护的区域</w:t>
            </w:r>
            <w:r>
              <w:rPr>
                <w:rFonts w:hint="eastAsia"/>
                <w:color w:val="auto"/>
                <w:sz w:val="24"/>
                <w:szCs w:val="22"/>
                <w:highlight w:val="none"/>
              </w:rPr>
              <w:t>，项目建设对周边居民影响小，项目建设带来的环境污染风险可接受，无环境制约因素。综上，从环境保护角度，</w:t>
            </w:r>
            <w:r>
              <w:rPr>
                <w:rFonts w:hint="eastAsia"/>
                <w:color w:val="auto"/>
                <w:sz w:val="24"/>
                <w:szCs w:val="22"/>
                <w:highlight w:val="none"/>
                <w:lang w:eastAsia="zh-CN"/>
              </w:rPr>
              <w:t>本工程</w:t>
            </w:r>
            <w:r>
              <w:rPr>
                <w:rFonts w:hint="eastAsia"/>
                <w:color w:val="auto"/>
                <w:sz w:val="24"/>
                <w:szCs w:val="22"/>
                <w:highlight w:val="none"/>
              </w:rPr>
              <w:t>选址合理。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color w:val="auto"/>
                <w:sz w:val="24"/>
                <w:highlight w:val="none"/>
              </w:rPr>
            </w:pPr>
            <w:r>
              <w:rPr>
                <w:rFonts w:hint="eastAsia"/>
                <w:bCs/>
                <w:color w:val="auto"/>
                <w:kern w:val="0"/>
                <w:highlight w:val="none"/>
                <w:lang w:eastAsia="zh-CN" w:bidi="ar"/>
              </w:rPr>
              <w:t>本工程</w:t>
            </w:r>
            <w:r>
              <w:rPr>
                <w:color w:val="auto"/>
                <w:sz w:val="24"/>
                <w:highlight w:val="none"/>
              </w:rPr>
              <w:t>实施排放的各种污染物对周围的地表水、地下水、环境空气、声环境影响较小</w:t>
            </w:r>
            <w:r>
              <w:rPr>
                <w:rFonts w:hint="eastAsia"/>
                <w:color w:val="auto"/>
                <w:sz w:val="24"/>
                <w:highlight w:val="none"/>
              </w:rPr>
              <w:t>，项目按照</w:t>
            </w:r>
            <w:r>
              <w:rPr>
                <w:color w:val="auto"/>
                <w:sz w:val="24"/>
                <w:highlight w:val="none"/>
              </w:rPr>
              <w:t>严格按照设计要求进行工程建设，执行环评阶段提出的各项污染防治措施的前提下，</w:t>
            </w:r>
            <w:r>
              <w:rPr>
                <w:rFonts w:hint="eastAsia"/>
                <w:color w:val="auto"/>
                <w:sz w:val="24"/>
                <w:highlight w:val="none"/>
              </w:rPr>
              <w:t>项目施工、运营过程中的</w:t>
            </w:r>
            <w:r>
              <w:rPr>
                <w:color w:val="auto"/>
                <w:sz w:val="24"/>
                <w:highlight w:val="none"/>
              </w:rPr>
              <w:t>环境风险处于可接受水平。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bCs/>
                <w:color w:val="auto"/>
                <w:sz w:val="24"/>
                <w:highlight w:val="none"/>
              </w:rPr>
            </w:pPr>
            <w:r>
              <w:rPr>
                <w:rFonts w:hint="eastAsia" w:ascii="宋体" w:hAnsi="宋体" w:cs="宋体"/>
                <w:bCs/>
                <w:color w:val="auto"/>
                <w:sz w:val="24"/>
                <w:highlight w:val="none"/>
              </w:rPr>
              <w:t>因此，建设单位在认真落实污染治理措施的基础上，从环境保护的角度分析，</w:t>
            </w:r>
            <w:r>
              <w:rPr>
                <w:rFonts w:hint="eastAsia" w:ascii="宋体" w:hAnsi="宋体" w:cs="宋体"/>
                <w:bCs/>
                <w:color w:val="auto"/>
                <w:sz w:val="24"/>
                <w:highlight w:val="none"/>
                <w:lang w:eastAsia="zh-CN"/>
              </w:rPr>
              <w:t>本工程</w:t>
            </w:r>
            <w:r>
              <w:rPr>
                <w:rFonts w:hint="eastAsia" w:ascii="宋体" w:hAnsi="宋体" w:cs="宋体"/>
                <w:bCs/>
                <w:color w:val="auto"/>
                <w:sz w:val="24"/>
                <w:highlight w:val="none"/>
              </w:rPr>
              <w:t>的建设是可行的。</w:t>
            </w:r>
          </w:p>
          <w:p>
            <w:pPr>
              <w:spacing w:line="360" w:lineRule="auto"/>
              <w:ind w:firstLine="480" w:firstLineChars="200"/>
              <w:rPr>
                <w:rFonts w:hint="eastAsia"/>
                <w:color w:val="auto"/>
                <w:sz w:val="24"/>
                <w:szCs w:val="22"/>
              </w:rPr>
            </w:pPr>
          </w:p>
          <w:p>
            <w:pPr>
              <w:adjustRightInd w:val="0"/>
              <w:snapToGrid w:val="0"/>
              <w:spacing w:line="360" w:lineRule="auto"/>
              <w:rPr>
                <w:color w:val="auto"/>
                <w:sz w:val="24"/>
              </w:rPr>
            </w:pPr>
          </w:p>
        </w:tc>
      </w:tr>
    </w:tbl>
    <w:p>
      <w:pPr>
        <w:adjustRightInd w:val="0"/>
        <w:snapToGrid w:val="0"/>
        <w:spacing w:before="192" w:beforeLines="80"/>
        <w:rPr>
          <w:color w:val="auto"/>
        </w:rPr>
        <w:sectPr>
          <w:pgSz w:w="11906" w:h="16838"/>
          <w:pgMar w:top="1440" w:right="1800" w:bottom="1440" w:left="1800" w:header="851" w:footer="1077" w:gutter="0"/>
          <w:cols w:space="720" w:num="1"/>
          <w:docGrid w:linePitch="312" w:charSpace="0"/>
        </w:sectPr>
      </w:pPr>
    </w:p>
    <w:p>
      <w:pPr>
        <w:rPr>
          <w:color w:val="auto"/>
        </w:rPr>
      </w:pPr>
    </w:p>
    <w:p>
      <w:pPr>
        <w:rPr>
          <w:color w:val="auto"/>
        </w:rPr>
      </w:pPr>
    </w:p>
    <w:sectPr>
      <w:pgSz w:w="11906" w:h="16838"/>
      <w:pgMar w:top="1440" w:right="1800" w:bottom="1440" w:left="180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简体">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 w:name="CG Times (WN)">
    <w:altName w:val="Times New Roman"/>
    <w:panose1 w:val="00000000000000000000"/>
    <w:charset w:val="00"/>
    <w:family w:val="roma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2"/>
      </w:rPr>
    </w:pPr>
    <w:r>
      <w:fldChar w:fldCharType="begin"/>
    </w:r>
    <w:r>
      <w:rPr>
        <w:rStyle w:val="22"/>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BN6mAyqAEAAEEDAAAOAAAA&#10;AAAAAAEAIAAAAB4BAABkcnMvZTJvRG9jLnhtbFBLBQYAAAAABgAGAFkBAAA4BQ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4EA27A"/>
    <w:multiLevelType w:val="singleLevel"/>
    <w:tmpl w:val="AD4EA27A"/>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
    <w:nsid w:val="33D068CA"/>
    <w:multiLevelType w:val="multilevel"/>
    <w:tmpl w:val="33D068CA"/>
    <w:lvl w:ilvl="0" w:tentative="0">
      <w:start w:val="1"/>
      <w:numFmt w:val="decimal"/>
      <w:lvlText w:val="%1"/>
      <w:lvlJc w:val="left"/>
      <w:pPr>
        <w:ind w:left="432" w:hanging="432"/>
      </w:pPr>
      <w:rPr>
        <w:rFonts w:hint="eastAsia" w:ascii="方正大标宋简体" w:eastAsia="方正大标宋简体"/>
      </w:rPr>
    </w:lvl>
    <w:lvl w:ilvl="1" w:tentative="0">
      <w:start w:val="1"/>
      <w:numFmt w:val="decimal"/>
      <w:lvlText w:val="%1.%2"/>
      <w:lvlJc w:val="left"/>
      <w:pPr>
        <w:ind w:left="576" w:hanging="576"/>
      </w:pPr>
      <w:rPr>
        <w:rFonts w:hint="eastAsia" w:ascii="方正大标宋简体" w:eastAsia="方正大标宋简体"/>
      </w:rPr>
    </w:lvl>
    <w:lvl w:ilvl="2" w:tentative="0">
      <w:start w:val="1"/>
      <w:numFmt w:val="decimal"/>
      <w:lvlText w:val="%1.%2.%3"/>
      <w:lvlJc w:val="left"/>
      <w:pPr>
        <w:ind w:left="1146" w:hanging="720"/>
      </w:pPr>
      <w:rPr>
        <w:rFonts w:hint="default" w:ascii="Times New Roman" w:hAnsi="Times New Roman" w:cs="Times New Roman"/>
      </w:rPr>
    </w:lvl>
    <w:lvl w:ilvl="3" w:tentative="0">
      <w:start w:val="1"/>
      <w:numFmt w:val="decimal"/>
      <w:lvlText w:val="%1.%2.%3.%4"/>
      <w:lvlJc w:val="left"/>
      <w:pPr>
        <w:ind w:left="864" w:hanging="864"/>
      </w:pPr>
      <w:rPr>
        <w:rFonts w:hint="default" w:ascii="Times New Roman" w:hAnsi="Times New Roman" w:cs="Times New Roman"/>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1"/>
    <w:lvlOverride w:ilvl="0">
      <w:lvl w:ilvl="0" w:tentative="1">
        <w:start w:val="1"/>
        <w:numFmt w:val="decimal"/>
        <w:lvlText w:val="%1"/>
        <w:lvlJc w:val="left"/>
        <w:pPr>
          <w:ind w:left="432" w:hanging="432"/>
        </w:pPr>
        <w:rPr>
          <w:rFonts w:hint="eastAsia" w:ascii="方正大标宋简体" w:eastAsia="方正大标宋简体"/>
        </w:rPr>
      </w:lvl>
    </w:lvlOverride>
    <w:lvlOverride w:ilvl="1">
      <w:lvl w:ilvl="1" w:tentative="1">
        <w:start w:val="1"/>
        <w:numFmt w:val="decimal"/>
        <w:pStyle w:val="4"/>
        <w:suff w:val="space"/>
        <w:lvlText w:val="%1.%2 "/>
        <w:lvlJc w:val="left"/>
        <w:pPr>
          <w:ind w:left="480" w:firstLine="0"/>
        </w:pPr>
        <w:rPr>
          <w:rFonts w:hint="eastAsia" w:ascii="方正大标宋简体" w:eastAsia="方正大标宋简体"/>
        </w:rPr>
      </w:lvl>
    </w:lvlOverride>
    <w:lvlOverride w:ilvl="2">
      <w:lvl w:ilvl="2" w:tentative="1">
        <w:start w:val="1"/>
        <w:numFmt w:val="decimal"/>
        <w:lvlText w:val="%1.%2.%3"/>
        <w:lvlJc w:val="left"/>
        <w:pPr>
          <w:ind w:left="1146" w:hanging="720"/>
        </w:pPr>
        <w:rPr>
          <w:rFonts w:hint="default" w:ascii="Times New Roman" w:hAnsi="Times New Roman" w:cs="Times New Roman"/>
        </w:rPr>
      </w:lvl>
    </w:lvlOverride>
    <w:lvlOverride w:ilvl="3">
      <w:lvl w:ilvl="3" w:tentative="1">
        <w:start w:val="1"/>
        <w:numFmt w:val="decimal"/>
        <w:lvlText w:val="%1.%2.%3.%4"/>
        <w:lvlJc w:val="left"/>
        <w:pPr>
          <w:ind w:left="864" w:hanging="864"/>
        </w:pPr>
        <w:rPr>
          <w:rFonts w:hint="default" w:ascii="Times New Roman" w:hAnsi="Times New Roman" w:cs="Times New Roman"/>
        </w:rPr>
      </w:lvl>
    </w:lvlOverride>
    <w:lvlOverride w:ilvl="4">
      <w:lvl w:ilvl="4" w:tentative="1">
        <w:start w:val="1"/>
        <w:numFmt w:val="decimal"/>
        <w:lvlText w:val="%1.%2.%3.%4.%5"/>
        <w:lvlJc w:val="left"/>
        <w:pPr>
          <w:ind w:left="1008" w:hanging="1008"/>
        </w:pPr>
        <w:rPr>
          <w:rFonts w:hint="eastAsia"/>
        </w:rPr>
      </w:lvl>
    </w:lvlOverride>
    <w:lvlOverride w:ilvl="5">
      <w:lvl w:ilvl="5" w:tentative="1">
        <w:start w:val="1"/>
        <w:numFmt w:val="decimal"/>
        <w:lvlText w:val="%1.%2.%3.%4.%5.%6"/>
        <w:lvlJc w:val="left"/>
        <w:pPr>
          <w:ind w:left="1152" w:hanging="1152"/>
        </w:pPr>
        <w:rPr>
          <w:rFonts w:hint="eastAsia"/>
        </w:rPr>
      </w:lvl>
    </w:lvlOverride>
    <w:lvlOverride w:ilvl="6">
      <w:lvl w:ilvl="6" w:tentative="1">
        <w:start w:val="1"/>
        <w:numFmt w:val="decimal"/>
        <w:lvlText w:val="%1.%2.%3.%4.%5.%6.%7"/>
        <w:lvlJc w:val="left"/>
        <w:pPr>
          <w:ind w:left="1296" w:hanging="1296"/>
        </w:pPr>
        <w:rPr>
          <w:rFonts w:hint="eastAsia"/>
        </w:rPr>
      </w:lvl>
    </w:lvlOverride>
    <w:lvlOverride w:ilvl="7">
      <w:lvl w:ilvl="7" w:tentative="1">
        <w:start w:val="1"/>
        <w:numFmt w:val="decimal"/>
        <w:lvlText w:val="%1.%2.%3.%4.%5.%6.%7.%8"/>
        <w:lvlJc w:val="left"/>
        <w:pPr>
          <w:ind w:left="1440" w:hanging="1440"/>
        </w:pPr>
        <w:rPr>
          <w:rFonts w:hint="eastAsia"/>
        </w:rPr>
      </w:lvl>
    </w:lvlOverride>
    <w:lvlOverride w:ilvl="8">
      <w:lvl w:ilvl="8" w:tentative="1">
        <w:start w:val="1"/>
        <w:numFmt w:val="decimal"/>
        <w:lvlText w:val="%1.%2.%3.%4.%5.%6.%7.%8.%9"/>
        <w:lvlJc w:val="left"/>
        <w:pPr>
          <w:ind w:left="1584" w:hanging="1584"/>
        </w:pPr>
        <w:rPr>
          <w:rFonts w:hint="eastAsia"/>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515C78"/>
    <w:rsid w:val="00026959"/>
    <w:rsid w:val="00033ABB"/>
    <w:rsid w:val="00040047"/>
    <w:rsid w:val="00092500"/>
    <w:rsid w:val="000D62E8"/>
    <w:rsid w:val="000D7538"/>
    <w:rsid w:val="000D79FF"/>
    <w:rsid w:val="00114DE9"/>
    <w:rsid w:val="00125B9A"/>
    <w:rsid w:val="00127560"/>
    <w:rsid w:val="00133079"/>
    <w:rsid w:val="00134962"/>
    <w:rsid w:val="00134D00"/>
    <w:rsid w:val="00154D76"/>
    <w:rsid w:val="00182FA0"/>
    <w:rsid w:val="0018453A"/>
    <w:rsid w:val="00194359"/>
    <w:rsid w:val="001B62EC"/>
    <w:rsid w:val="001B78B2"/>
    <w:rsid w:val="001D37ED"/>
    <w:rsid w:val="001D4456"/>
    <w:rsid w:val="001E4436"/>
    <w:rsid w:val="0020163E"/>
    <w:rsid w:val="00201A4E"/>
    <w:rsid w:val="00213FCA"/>
    <w:rsid w:val="0021658B"/>
    <w:rsid w:val="00225B8F"/>
    <w:rsid w:val="00227F48"/>
    <w:rsid w:val="00236A11"/>
    <w:rsid w:val="00247960"/>
    <w:rsid w:val="002608D5"/>
    <w:rsid w:val="00264E42"/>
    <w:rsid w:val="0027554F"/>
    <w:rsid w:val="002836CE"/>
    <w:rsid w:val="002C6C70"/>
    <w:rsid w:val="002D1A77"/>
    <w:rsid w:val="002F05AC"/>
    <w:rsid w:val="002F3A47"/>
    <w:rsid w:val="003061C5"/>
    <w:rsid w:val="00345B04"/>
    <w:rsid w:val="003644EC"/>
    <w:rsid w:val="00364D67"/>
    <w:rsid w:val="003837D6"/>
    <w:rsid w:val="003C7D55"/>
    <w:rsid w:val="003E275B"/>
    <w:rsid w:val="00404FA4"/>
    <w:rsid w:val="00416B93"/>
    <w:rsid w:val="00416EB5"/>
    <w:rsid w:val="004207EA"/>
    <w:rsid w:val="00427509"/>
    <w:rsid w:val="00432F99"/>
    <w:rsid w:val="0044498B"/>
    <w:rsid w:val="00444B56"/>
    <w:rsid w:val="00447A07"/>
    <w:rsid w:val="00470216"/>
    <w:rsid w:val="00487B8D"/>
    <w:rsid w:val="00493B31"/>
    <w:rsid w:val="004C1764"/>
    <w:rsid w:val="005130D3"/>
    <w:rsid w:val="005476E8"/>
    <w:rsid w:val="00553945"/>
    <w:rsid w:val="00572E77"/>
    <w:rsid w:val="00586059"/>
    <w:rsid w:val="00595AA8"/>
    <w:rsid w:val="005A33EF"/>
    <w:rsid w:val="005D05B9"/>
    <w:rsid w:val="005D6D2C"/>
    <w:rsid w:val="005F5CC0"/>
    <w:rsid w:val="006046D9"/>
    <w:rsid w:val="0062525E"/>
    <w:rsid w:val="00631749"/>
    <w:rsid w:val="00642D1A"/>
    <w:rsid w:val="00655974"/>
    <w:rsid w:val="006745BD"/>
    <w:rsid w:val="0069099C"/>
    <w:rsid w:val="0069385A"/>
    <w:rsid w:val="00693CF4"/>
    <w:rsid w:val="006A1D20"/>
    <w:rsid w:val="006C0305"/>
    <w:rsid w:val="006D642C"/>
    <w:rsid w:val="006E3483"/>
    <w:rsid w:val="006F4C40"/>
    <w:rsid w:val="00731A68"/>
    <w:rsid w:val="007326AA"/>
    <w:rsid w:val="00744AEA"/>
    <w:rsid w:val="007537C3"/>
    <w:rsid w:val="00765B0E"/>
    <w:rsid w:val="007832C8"/>
    <w:rsid w:val="00793BB4"/>
    <w:rsid w:val="007C73A1"/>
    <w:rsid w:val="007E3414"/>
    <w:rsid w:val="007E7D98"/>
    <w:rsid w:val="007F40AA"/>
    <w:rsid w:val="0083167A"/>
    <w:rsid w:val="00832FC3"/>
    <w:rsid w:val="0086144C"/>
    <w:rsid w:val="0086711C"/>
    <w:rsid w:val="00874B8E"/>
    <w:rsid w:val="00880D96"/>
    <w:rsid w:val="008B0A63"/>
    <w:rsid w:val="008B2A62"/>
    <w:rsid w:val="008F5B60"/>
    <w:rsid w:val="00931078"/>
    <w:rsid w:val="00946344"/>
    <w:rsid w:val="00951890"/>
    <w:rsid w:val="00957AF5"/>
    <w:rsid w:val="0097277E"/>
    <w:rsid w:val="00993E2F"/>
    <w:rsid w:val="0099477C"/>
    <w:rsid w:val="009B5F94"/>
    <w:rsid w:val="009B659F"/>
    <w:rsid w:val="009C3641"/>
    <w:rsid w:val="00A0760F"/>
    <w:rsid w:val="00A07887"/>
    <w:rsid w:val="00A726F9"/>
    <w:rsid w:val="00A81AB1"/>
    <w:rsid w:val="00A84439"/>
    <w:rsid w:val="00A85590"/>
    <w:rsid w:val="00A875D8"/>
    <w:rsid w:val="00AF3146"/>
    <w:rsid w:val="00AF5C91"/>
    <w:rsid w:val="00B0457A"/>
    <w:rsid w:val="00B1635E"/>
    <w:rsid w:val="00B212FF"/>
    <w:rsid w:val="00B332F2"/>
    <w:rsid w:val="00B648E8"/>
    <w:rsid w:val="00B807AE"/>
    <w:rsid w:val="00B87A2E"/>
    <w:rsid w:val="00B93669"/>
    <w:rsid w:val="00BA0D69"/>
    <w:rsid w:val="00BC1086"/>
    <w:rsid w:val="00BE0A36"/>
    <w:rsid w:val="00C32024"/>
    <w:rsid w:val="00C575BC"/>
    <w:rsid w:val="00C638B5"/>
    <w:rsid w:val="00C6452E"/>
    <w:rsid w:val="00C6574C"/>
    <w:rsid w:val="00C6578F"/>
    <w:rsid w:val="00C74BD0"/>
    <w:rsid w:val="00C8231A"/>
    <w:rsid w:val="00C9429B"/>
    <w:rsid w:val="00C97397"/>
    <w:rsid w:val="00CA588E"/>
    <w:rsid w:val="00CC46F1"/>
    <w:rsid w:val="00CE5535"/>
    <w:rsid w:val="00D073E2"/>
    <w:rsid w:val="00D2395F"/>
    <w:rsid w:val="00D81F44"/>
    <w:rsid w:val="00D86E82"/>
    <w:rsid w:val="00DA0B71"/>
    <w:rsid w:val="00DA374D"/>
    <w:rsid w:val="00DB11F0"/>
    <w:rsid w:val="00DC0B13"/>
    <w:rsid w:val="00DD25BE"/>
    <w:rsid w:val="00E02F6B"/>
    <w:rsid w:val="00E15EAA"/>
    <w:rsid w:val="00E31E44"/>
    <w:rsid w:val="00E6022A"/>
    <w:rsid w:val="00E84D67"/>
    <w:rsid w:val="00E862E8"/>
    <w:rsid w:val="00EA7E99"/>
    <w:rsid w:val="00EB32E7"/>
    <w:rsid w:val="00EB38C6"/>
    <w:rsid w:val="00EC5221"/>
    <w:rsid w:val="00EC5AFB"/>
    <w:rsid w:val="00EC796D"/>
    <w:rsid w:val="00ED103F"/>
    <w:rsid w:val="00EF311C"/>
    <w:rsid w:val="00F05094"/>
    <w:rsid w:val="00F1208B"/>
    <w:rsid w:val="00F575AC"/>
    <w:rsid w:val="00F7638C"/>
    <w:rsid w:val="00F961C8"/>
    <w:rsid w:val="00FA56EC"/>
    <w:rsid w:val="00FA7313"/>
    <w:rsid w:val="00FC481C"/>
    <w:rsid w:val="00FF1369"/>
    <w:rsid w:val="00FF3DD9"/>
    <w:rsid w:val="00FF3F17"/>
    <w:rsid w:val="00FF73D2"/>
    <w:rsid w:val="38845A66"/>
    <w:rsid w:val="4440691D"/>
    <w:rsid w:val="56B95548"/>
    <w:rsid w:val="5C19166A"/>
    <w:rsid w:val="60311854"/>
    <w:rsid w:val="6B515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0"/>
    <w:pPr>
      <w:keepNext/>
      <w:keepLines/>
      <w:numPr>
        <w:ilvl w:val="1"/>
        <w:numId w:val="1"/>
      </w:numPr>
      <w:tabs>
        <w:tab w:val="left" w:pos="567"/>
      </w:tabs>
      <w:adjustRightInd w:val="0"/>
      <w:snapToGrid w:val="0"/>
      <w:jc w:val="left"/>
      <w:outlineLvl w:val="1"/>
    </w:pPr>
    <w:rPr>
      <w:rFonts w:eastAsia="方正大标宋简体"/>
      <w:kern w:val="0"/>
      <w:sz w:val="30"/>
      <w:szCs w:val="30"/>
    </w:rPr>
  </w:style>
  <w:style w:type="paragraph" w:styleId="5">
    <w:name w:val="heading 3"/>
    <w:basedOn w:val="1"/>
    <w:next w:val="1"/>
    <w:qFormat/>
    <w:uiPriority w:val="0"/>
    <w:pPr>
      <w:keepNext/>
      <w:keepLines/>
      <w:spacing w:line="360" w:lineRule="auto"/>
      <w:outlineLvl w:val="2"/>
    </w:pPr>
    <w:rPr>
      <w:b/>
      <w:bCs/>
      <w:kern w:val="0"/>
      <w:sz w:val="28"/>
      <w:szCs w:val="32"/>
    </w:rPr>
  </w:style>
  <w:style w:type="paragraph" w:styleId="6">
    <w:name w:val="heading 4"/>
    <w:basedOn w:val="1"/>
    <w:next w:val="1"/>
    <w:qFormat/>
    <w:uiPriority w:val="0"/>
    <w:pPr>
      <w:keepNext/>
      <w:keepLines/>
      <w:spacing w:before="280" w:after="290" w:line="372" w:lineRule="auto"/>
      <w:ind w:firstLine="600" w:firstLineChars="200"/>
      <w:outlineLvl w:val="3"/>
    </w:pPr>
    <w:rPr>
      <w:rFonts w:ascii="Arial" w:hAnsi="Arial" w:eastAsia="黑体"/>
      <w:b/>
      <w:kern w:val="0"/>
      <w:sz w:val="28"/>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99"/>
    <w:pPr>
      <w:widowControl w:val="0"/>
      <w:spacing w:after="120"/>
      <w:ind w:firstLine="420" w:firstLineChars="100"/>
    </w:pPr>
    <w:rPr>
      <w:kern w:val="2"/>
      <w:sz w:val="21"/>
    </w:rPr>
  </w:style>
  <w:style w:type="paragraph" w:styleId="3">
    <w:name w:val="Body Text"/>
    <w:basedOn w:val="1"/>
    <w:next w:val="1"/>
    <w:qFormat/>
    <w:uiPriority w:val="0"/>
    <w:pPr>
      <w:widowControl/>
      <w:snapToGrid w:val="0"/>
      <w:spacing w:before="60" w:after="160" w:line="259" w:lineRule="auto"/>
      <w:ind w:right="113"/>
    </w:pPr>
    <w:rPr>
      <w:kern w:val="0"/>
      <w:sz w:val="18"/>
      <w:szCs w:val="20"/>
    </w:rPr>
  </w:style>
  <w:style w:type="paragraph" w:styleId="7">
    <w:name w:val="Normal Indent"/>
    <w:basedOn w:val="1"/>
    <w:next w:val="8"/>
    <w:qFormat/>
    <w:uiPriority w:val="0"/>
    <w:pPr>
      <w:spacing w:line="360" w:lineRule="auto"/>
      <w:ind w:firstLine="454" w:firstLineChars="200"/>
    </w:pPr>
    <w:rPr>
      <w:sz w:val="24"/>
      <w:szCs w:val="20"/>
    </w:rPr>
  </w:style>
  <w:style w:type="paragraph" w:customStyle="1" w:styleId="8">
    <w:name w:val="表头"/>
    <w:basedOn w:val="9"/>
    <w:next w:val="1"/>
    <w:qFormat/>
    <w:uiPriority w:val="0"/>
    <w:pPr>
      <w:spacing w:line="240" w:lineRule="auto"/>
      <w:jc w:val="left"/>
    </w:pPr>
    <w:rPr>
      <w:sz w:val="21"/>
    </w:rPr>
  </w:style>
  <w:style w:type="paragraph" w:styleId="9">
    <w:name w:val="List"/>
    <w:basedOn w:val="1"/>
    <w:semiHidden/>
    <w:qFormat/>
    <w:uiPriority w:val="0"/>
    <w:pPr>
      <w:spacing w:line="320" w:lineRule="exact"/>
      <w:jc w:val="center"/>
    </w:pPr>
    <w:rPr>
      <w:sz w:val="22"/>
    </w:rPr>
  </w:style>
  <w:style w:type="paragraph" w:styleId="10">
    <w:name w:val="annotation text"/>
    <w:basedOn w:val="1"/>
    <w:link w:val="49"/>
    <w:qFormat/>
    <w:uiPriority w:val="0"/>
    <w:pPr>
      <w:jc w:val="left"/>
    </w:pPr>
  </w:style>
  <w:style w:type="paragraph" w:styleId="11">
    <w:name w:val="Body Text Indent"/>
    <w:basedOn w:val="1"/>
    <w:qFormat/>
    <w:uiPriority w:val="0"/>
    <w:pPr>
      <w:spacing w:after="120"/>
      <w:ind w:left="420" w:leftChars="200"/>
    </w:pPr>
  </w:style>
  <w:style w:type="paragraph" w:styleId="12">
    <w:name w:val="Plain Text"/>
    <w:basedOn w:val="1"/>
    <w:qFormat/>
    <w:uiPriority w:val="0"/>
    <w:rPr>
      <w:rFonts w:ascii="宋体" w:hAnsi="Courier New"/>
    </w:rPr>
  </w:style>
  <w:style w:type="paragraph" w:styleId="13">
    <w:name w:val="List Bullet 5"/>
    <w:basedOn w:val="1"/>
    <w:qFormat/>
    <w:uiPriority w:val="0"/>
    <w:pPr>
      <w:numPr>
        <w:ilvl w:val="0"/>
        <w:numId w:val="2"/>
      </w:numPr>
    </w:p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link w:val="48"/>
    <w:qFormat/>
    <w:uiPriority w:val="0"/>
    <w:pPr>
      <w:pBdr>
        <w:bottom w:val="single" w:color="auto" w:sz="6" w:space="1"/>
      </w:pBdr>
      <w:tabs>
        <w:tab w:val="center" w:pos="4153"/>
        <w:tab w:val="right" w:pos="8306"/>
      </w:tabs>
      <w:snapToGrid w:val="0"/>
      <w:jc w:val="center"/>
    </w:pPr>
    <w:rPr>
      <w:sz w:val="18"/>
      <w:szCs w:val="18"/>
    </w:rPr>
  </w:style>
  <w:style w:type="paragraph" w:styleId="16">
    <w:name w:val="table of figures"/>
    <w:basedOn w:val="1"/>
    <w:next w:val="1"/>
    <w:semiHidden/>
    <w:qFormat/>
    <w:uiPriority w:val="0"/>
    <w:pPr>
      <w:ind w:left="840" w:leftChars="200" w:hanging="420" w:hangingChars="200"/>
    </w:p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10"/>
    <w:next w:val="10"/>
    <w:link w:val="50"/>
    <w:qFormat/>
    <w:uiPriority w:val="0"/>
    <w:rPr>
      <w:b/>
      <w:bCs/>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annotation reference"/>
    <w:basedOn w:val="21"/>
    <w:qFormat/>
    <w:uiPriority w:val="0"/>
    <w:rPr>
      <w:sz w:val="21"/>
      <w:szCs w:val="21"/>
    </w:rPr>
  </w:style>
  <w:style w:type="paragraph" w:customStyle="1" w:styleId="24">
    <w:name w:val="正文（缩进）"/>
    <w:basedOn w:val="1"/>
    <w:next w:val="1"/>
    <w:qFormat/>
    <w:uiPriority w:val="99"/>
    <w:pPr>
      <w:spacing w:line="360" w:lineRule="auto"/>
      <w:ind w:firstLine="480" w:firstLineChars="200"/>
    </w:pPr>
    <w:rPr>
      <w:sz w:val="24"/>
    </w:rPr>
  </w:style>
  <w:style w:type="paragraph" w:customStyle="1" w:styleId="25">
    <w:name w:val="正文（首行缩进两字）"/>
    <w:basedOn w:val="1"/>
    <w:qFormat/>
    <w:uiPriority w:val="0"/>
    <w:pPr>
      <w:spacing w:line="360" w:lineRule="auto"/>
      <w:ind w:firstLine="420"/>
    </w:pPr>
    <w:rPr>
      <w:sz w:val="28"/>
      <w:szCs w:val="28"/>
    </w:rPr>
  </w:style>
  <w:style w:type="paragraph" w:customStyle="1" w:styleId="26">
    <w:name w:val="表 正文"/>
    <w:basedOn w:val="1"/>
    <w:qFormat/>
    <w:uiPriority w:val="0"/>
    <w:pPr>
      <w:snapToGrid w:val="0"/>
      <w:spacing w:line="360" w:lineRule="auto"/>
      <w:ind w:firstLine="200"/>
    </w:pPr>
    <w:rPr>
      <w:rFonts w:eastAsia="仿宋_GB2312"/>
      <w:kern w:val="44"/>
      <w:sz w:val="28"/>
    </w:rPr>
  </w:style>
  <w:style w:type="paragraph" w:customStyle="1" w:styleId="27">
    <w:name w:val="Table Paragraph"/>
    <w:basedOn w:val="1"/>
    <w:qFormat/>
    <w:uiPriority w:val="1"/>
  </w:style>
  <w:style w:type="paragraph" w:customStyle="1" w:styleId="28">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正文】"/>
    <w:basedOn w:val="1"/>
    <w:qFormat/>
    <w:uiPriority w:val="0"/>
    <w:pPr>
      <w:spacing w:line="360" w:lineRule="auto"/>
      <w:ind w:firstLine="480" w:firstLineChars="200"/>
    </w:pPr>
    <w:rPr>
      <w:rFonts w:ascii="宋体" w:hAnsi="宋体"/>
      <w:bCs/>
      <w:sz w:val="24"/>
    </w:rPr>
  </w:style>
  <w:style w:type="paragraph" w:customStyle="1" w:styleId="30">
    <w:name w:val="正文1"/>
    <w:basedOn w:val="1"/>
    <w:next w:val="1"/>
    <w:semiHidden/>
    <w:qFormat/>
    <w:uiPriority w:val="0"/>
    <w:pPr>
      <w:ind w:firstLine="200"/>
    </w:pPr>
    <w:rPr>
      <w:kern w:val="0"/>
      <w:szCs w:val="32"/>
    </w:rPr>
  </w:style>
  <w:style w:type="paragraph" w:customStyle="1" w:styleId="31">
    <w:name w:val="表体"/>
    <w:basedOn w:val="1"/>
    <w:qFormat/>
    <w:uiPriority w:val="0"/>
    <w:pPr>
      <w:adjustRightInd w:val="0"/>
      <w:snapToGrid w:val="0"/>
      <w:spacing w:line="240" w:lineRule="atLeast"/>
      <w:jc w:val="center"/>
    </w:pPr>
    <w:rPr>
      <w:rFonts w:ascii="仿宋_GB2312" w:eastAsia="仿宋_GB2312"/>
      <w:sz w:val="24"/>
    </w:rPr>
  </w:style>
  <w:style w:type="paragraph" w:customStyle="1" w:styleId="32">
    <w:name w:val="正文文本1"/>
    <w:basedOn w:val="1"/>
    <w:unhideWhenUsed/>
    <w:qFormat/>
    <w:uiPriority w:val="99"/>
    <w:pPr>
      <w:shd w:val="clear" w:color="auto" w:fill="FFFFFF"/>
      <w:spacing w:before="660" w:line="466" w:lineRule="exact"/>
      <w:ind w:hanging="420" w:firstLineChars="200"/>
      <w:jc w:val="distribute"/>
    </w:pPr>
    <w:rPr>
      <w:rFonts w:ascii="MingLiU" w:hAnsi="MingLiU" w:eastAsia="MingLiU"/>
      <w:kern w:val="0"/>
      <w:sz w:val="23"/>
    </w:rPr>
  </w:style>
  <w:style w:type="character" w:customStyle="1" w:styleId="33">
    <w:name w:val="正文文本 + 10 pt"/>
    <w:unhideWhenUsed/>
    <w:qFormat/>
    <w:uiPriority w:val="99"/>
    <w:rPr>
      <w:rFonts w:hint="eastAsia" w:ascii="MingLiU" w:hAnsi="MingLiU" w:eastAsia="MingLiU"/>
      <w:sz w:val="20"/>
    </w:rPr>
  </w:style>
  <w:style w:type="character" w:customStyle="1" w:styleId="34">
    <w:name w:val="正文文本 + Arial Unicode MS"/>
    <w:unhideWhenUsed/>
    <w:qFormat/>
    <w:uiPriority w:val="99"/>
    <w:rPr>
      <w:rFonts w:hint="default" w:ascii="Arial Unicode MS" w:hAnsi="Arial Unicode MS" w:eastAsia="Arial Unicode MS"/>
      <w:sz w:val="19"/>
      <w:lang w:val="en-US" w:eastAsia="en-US"/>
    </w:rPr>
  </w:style>
  <w:style w:type="paragraph" w:customStyle="1" w:styleId="35">
    <w:name w:val="表格"/>
    <w:basedOn w:val="11"/>
    <w:next w:val="1"/>
    <w:qFormat/>
    <w:uiPriority w:val="0"/>
    <w:pPr>
      <w:adjustRightInd w:val="0"/>
      <w:snapToGrid w:val="0"/>
      <w:spacing w:beforeLines="10" w:afterLines="10" w:line="259" w:lineRule="auto"/>
      <w:jc w:val="center"/>
    </w:pPr>
    <w:rPr>
      <w:rFonts w:ascii="宋体"/>
      <w:szCs w:val="20"/>
    </w:rPr>
  </w:style>
  <w:style w:type="paragraph" w:customStyle="1" w:styleId="36">
    <w:name w:val="环评正文"/>
    <w:basedOn w:val="1"/>
    <w:qFormat/>
    <w:uiPriority w:val="0"/>
    <w:pPr>
      <w:spacing w:line="360" w:lineRule="auto"/>
      <w:ind w:firstLine="480" w:firstLineChars="200"/>
    </w:pPr>
    <w:rPr>
      <w:kern w:val="0"/>
    </w:rPr>
  </w:style>
  <w:style w:type="paragraph" w:customStyle="1" w:styleId="37">
    <w:name w:val="表格内容"/>
    <w:basedOn w:val="1"/>
    <w:qFormat/>
    <w:uiPriority w:val="0"/>
    <w:pPr>
      <w:widowControl/>
      <w:jc w:val="center"/>
    </w:pPr>
    <w:rPr>
      <w:rFonts w:hAnsi="宋体"/>
      <w:kern w:val="0"/>
      <w:szCs w:val="21"/>
    </w:rPr>
  </w:style>
  <w:style w:type="paragraph" w:customStyle="1" w:styleId="38">
    <w:name w:val="表格一"/>
    <w:basedOn w:val="1"/>
    <w:qFormat/>
    <w:uiPriority w:val="0"/>
    <w:pPr>
      <w:jc w:val="center"/>
    </w:pPr>
    <w:rPr>
      <w:sz w:val="24"/>
      <w:szCs w:val="20"/>
    </w:rPr>
  </w:style>
  <w:style w:type="paragraph" w:customStyle="1" w:styleId="39">
    <w:name w:val="表题"/>
    <w:basedOn w:val="1"/>
    <w:next w:val="1"/>
    <w:qFormat/>
    <w:uiPriority w:val="0"/>
    <w:pPr>
      <w:spacing w:beforeLines="50" w:afterLines="50" w:line="360" w:lineRule="auto"/>
      <w:jc w:val="center"/>
    </w:pPr>
    <w:rPr>
      <w:rFonts w:eastAsia="黑体"/>
      <w:bCs/>
      <w:sz w:val="24"/>
      <w:szCs w:val="20"/>
    </w:rPr>
  </w:style>
  <w:style w:type="paragraph" w:customStyle="1" w:styleId="40">
    <w:name w:val="!正文"/>
    <w:basedOn w:val="1"/>
    <w:qFormat/>
    <w:uiPriority w:val="0"/>
    <w:pPr>
      <w:adjustRightInd w:val="0"/>
      <w:snapToGrid w:val="0"/>
      <w:spacing w:line="360" w:lineRule="auto"/>
      <w:ind w:firstLine="480" w:firstLineChars="200"/>
    </w:pPr>
    <w:rPr>
      <w:sz w:val="24"/>
      <w:szCs w:val="21"/>
    </w:rPr>
  </w:style>
  <w:style w:type="paragraph" w:customStyle="1" w:styleId="41">
    <w:name w:val="正文(亮)"/>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character" w:customStyle="1" w:styleId="42">
    <w:name w:val="font51"/>
    <w:basedOn w:val="21"/>
    <w:qFormat/>
    <w:uiPriority w:val="0"/>
    <w:rPr>
      <w:rFonts w:hint="default" w:ascii="Times New Roman" w:hAnsi="Times New Roman" w:cs="Times New Roman"/>
      <w:color w:val="000000"/>
      <w:sz w:val="21"/>
      <w:szCs w:val="21"/>
      <w:u w:val="none"/>
    </w:rPr>
  </w:style>
  <w:style w:type="character" w:customStyle="1" w:styleId="43">
    <w:name w:val="font61"/>
    <w:basedOn w:val="21"/>
    <w:qFormat/>
    <w:uiPriority w:val="0"/>
    <w:rPr>
      <w:rFonts w:hint="eastAsia" w:ascii="宋体" w:hAnsi="宋体" w:eastAsia="宋体" w:cs="宋体"/>
      <w:color w:val="000000"/>
      <w:sz w:val="21"/>
      <w:szCs w:val="21"/>
      <w:u w:val="none"/>
    </w:rPr>
  </w:style>
  <w:style w:type="paragraph" w:customStyle="1" w:styleId="44">
    <w:name w:val="正文."/>
    <w:basedOn w:val="1"/>
    <w:qFormat/>
    <w:uiPriority w:val="0"/>
    <w:pPr>
      <w:spacing w:line="360" w:lineRule="auto"/>
      <w:ind w:firstLine="200" w:firstLineChars="200"/>
    </w:pPr>
    <w:rPr>
      <w:sz w:val="28"/>
      <w:szCs w:val="28"/>
    </w:rPr>
  </w:style>
  <w:style w:type="character" w:customStyle="1" w:styleId="45">
    <w:name w:val="正文文本 + MingLiU"/>
    <w:qFormat/>
    <w:uiPriority w:val="0"/>
    <w:rPr>
      <w:rFonts w:hint="eastAsia" w:ascii="MingLiU" w:hAnsi="MingLiU" w:eastAsia="Times New Roman" w:cs="MingLiU"/>
      <w:color w:val="000000"/>
      <w:spacing w:val="0"/>
      <w:w w:val="100"/>
      <w:kern w:val="2"/>
      <w:position w:val="0"/>
      <w:sz w:val="37"/>
      <w:szCs w:val="37"/>
      <w:shd w:val="clear" w:color="auto" w:fill="FFFFFF"/>
      <w:lang w:val="zh-CN"/>
    </w:rPr>
  </w:style>
  <w:style w:type="paragraph" w:customStyle="1" w:styleId="46">
    <w:name w:val="表格字"/>
    <w:basedOn w:val="9"/>
    <w:qFormat/>
    <w:uiPriority w:val="0"/>
    <w:pPr>
      <w:spacing w:line="240" w:lineRule="auto"/>
    </w:pPr>
    <w:rPr>
      <w:sz w:val="21"/>
      <w:szCs w:val="20"/>
    </w:rPr>
  </w:style>
  <w:style w:type="paragraph" w:customStyle="1" w:styleId="47">
    <w:name w:val="表格1"/>
    <w:basedOn w:val="1"/>
    <w:qFormat/>
    <w:uiPriority w:val="0"/>
    <w:pPr>
      <w:adjustRightInd w:val="0"/>
      <w:spacing w:line="280" w:lineRule="exact"/>
      <w:jc w:val="center"/>
      <w:textAlignment w:val="baseline"/>
    </w:pPr>
    <w:rPr>
      <w:rFonts w:ascii="CG Times (WN)"/>
      <w:spacing w:val="6"/>
      <w:kern w:val="0"/>
      <w:sz w:val="18"/>
      <w:szCs w:val="22"/>
    </w:rPr>
  </w:style>
  <w:style w:type="character" w:customStyle="1" w:styleId="48">
    <w:name w:val="页眉 字符"/>
    <w:basedOn w:val="21"/>
    <w:link w:val="15"/>
    <w:qFormat/>
    <w:uiPriority w:val="0"/>
    <w:rPr>
      <w:rFonts w:ascii="Times New Roman" w:hAnsi="Times New Roman" w:eastAsia="宋体" w:cs="Times New Roman"/>
      <w:kern w:val="2"/>
      <w:sz w:val="18"/>
      <w:szCs w:val="18"/>
    </w:rPr>
  </w:style>
  <w:style w:type="character" w:customStyle="1" w:styleId="49">
    <w:name w:val="批注文字 字符"/>
    <w:basedOn w:val="21"/>
    <w:link w:val="10"/>
    <w:qFormat/>
    <w:uiPriority w:val="0"/>
    <w:rPr>
      <w:rFonts w:ascii="Times New Roman" w:hAnsi="Times New Roman" w:eastAsia="宋体" w:cs="Times New Roman"/>
      <w:kern w:val="2"/>
      <w:sz w:val="21"/>
      <w:szCs w:val="24"/>
    </w:rPr>
  </w:style>
  <w:style w:type="character" w:customStyle="1" w:styleId="50">
    <w:name w:val="批注主题 字符"/>
    <w:basedOn w:val="49"/>
    <w:link w:val="18"/>
    <w:qFormat/>
    <w:uiPriority w:val="0"/>
    <w:rPr>
      <w:rFonts w:ascii="Times New Roman" w:hAnsi="Times New Roman" w:eastAsia="宋体" w:cs="Times New Roman"/>
      <w:b/>
      <w:bCs/>
      <w:kern w:val="2"/>
      <w:sz w:val="21"/>
      <w:szCs w:val="24"/>
    </w:rPr>
  </w:style>
  <w:style w:type="character" w:customStyle="1" w:styleId="51">
    <w:name w:val="font01"/>
    <w:basedOn w:val="2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44.wmf"/><Relationship Id="rId74" Type="http://schemas.openxmlformats.org/officeDocument/2006/relationships/oleObject" Target="embeddings/oleObject25.bin"/><Relationship Id="rId73" Type="http://schemas.openxmlformats.org/officeDocument/2006/relationships/image" Target="media/image43.wmf"/><Relationship Id="rId72" Type="http://schemas.openxmlformats.org/officeDocument/2006/relationships/oleObject" Target="embeddings/oleObject24.bin"/><Relationship Id="rId71" Type="http://schemas.openxmlformats.org/officeDocument/2006/relationships/image" Target="media/image42.wmf"/><Relationship Id="rId70" Type="http://schemas.openxmlformats.org/officeDocument/2006/relationships/oleObject" Target="embeddings/oleObject23.bin"/><Relationship Id="rId7" Type="http://schemas.openxmlformats.org/officeDocument/2006/relationships/image" Target="media/image1.jpeg"/><Relationship Id="rId69" Type="http://schemas.openxmlformats.org/officeDocument/2006/relationships/image" Target="media/image41.wmf"/><Relationship Id="rId68" Type="http://schemas.openxmlformats.org/officeDocument/2006/relationships/oleObject" Target="embeddings/oleObject22.bin"/><Relationship Id="rId67" Type="http://schemas.openxmlformats.org/officeDocument/2006/relationships/image" Target="media/image40.emf"/><Relationship Id="rId66" Type="http://schemas.openxmlformats.org/officeDocument/2006/relationships/oleObject" Target="embeddings/oleObject21.bin"/><Relationship Id="rId65" Type="http://schemas.openxmlformats.org/officeDocument/2006/relationships/image" Target="media/image39.png"/><Relationship Id="rId64" Type="http://schemas.openxmlformats.org/officeDocument/2006/relationships/image" Target="media/image38.wmf"/><Relationship Id="rId63" Type="http://schemas.openxmlformats.org/officeDocument/2006/relationships/oleObject" Target="embeddings/oleObject20.bin"/><Relationship Id="rId62" Type="http://schemas.openxmlformats.org/officeDocument/2006/relationships/image" Target="media/image37.wmf"/><Relationship Id="rId61" Type="http://schemas.openxmlformats.org/officeDocument/2006/relationships/oleObject" Target="embeddings/oleObject19.bin"/><Relationship Id="rId60" Type="http://schemas.openxmlformats.org/officeDocument/2006/relationships/image" Target="media/image36.wmf"/><Relationship Id="rId6" Type="http://schemas.openxmlformats.org/officeDocument/2006/relationships/theme" Target="theme/theme1.xml"/><Relationship Id="rId59" Type="http://schemas.openxmlformats.org/officeDocument/2006/relationships/oleObject" Target="embeddings/oleObject18.bin"/><Relationship Id="rId58" Type="http://schemas.openxmlformats.org/officeDocument/2006/relationships/image" Target="media/image35.jpeg"/><Relationship Id="rId57" Type="http://schemas.openxmlformats.org/officeDocument/2006/relationships/image" Target="media/image34.wmf"/><Relationship Id="rId56" Type="http://schemas.openxmlformats.org/officeDocument/2006/relationships/oleObject" Target="embeddings/oleObject17.bin"/><Relationship Id="rId55" Type="http://schemas.openxmlformats.org/officeDocument/2006/relationships/image" Target="media/image33.wmf"/><Relationship Id="rId54" Type="http://schemas.openxmlformats.org/officeDocument/2006/relationships/oleObject" Target="embeddings/oleObject16.bin"/><Relationship Id="rId53" Type="http://schemas.openxmlformats.org/officeDocument/2006/relationships/image" Target="media/image32.wmf"/><Relationship Id="rId52" Type="http://schemas.openxmlformats.org/officeDocument/2006/relationships/oleObject" Target="embeddings/oleObject15.bin"/><Relationship Id="rId51" Type="http://schemas.openxmlformats.org/officeDocument/2006/relationships/image" Target="media/image31.wmf"/><Relationship Id="rId50" Type="http://schemas.openxmlformats.org/officeDocument/2006/relationships/oleObject" Target="embeddings/oleObject14.bin"/><Relationship Id="rId5" Type="http://schemas.openxmlformats.org/officeDocument/2006/relationships/footer" Target="footer3.xml"/><Relationship Id="rId49" Type="http://schemas.openxmlformats.org/officeDocument/2006/relationships/image" Target="media/image30.wmf"/><Relationship Id="rId48" Type="http://schemas.openxmlformats.org/officeDocument/2006/relationships/oleObject" Target="embeddings/oleObject13.bin"/><Relationship Id="rId47" Type="http://schemas.openxmlformats.org/officeDocument/2006/relationships/image" Target="media/image29.wmf"/><Relationship Id="rId46" Type="http://schemas.openxmlformats.org/officeDocument/2006/relationships/oleObject" Target="embeddings/oleObject12.bin"/><Relationship Id="rId45" Type="http://schemas.openxmlformats.org/officeDocument/2006/relationships/oleObject" Target="embeddings/oleObject11.bin"/><Relationship Id="rId44" Type="http://schemas.openxmlformats.org/officeDocument/2006/relationships/image" Target="media/image28.wmf"/><Relationship Id="rId43" Type="http://schemas.openxmlformats.org/officeDocument/2006/relationships/oleObject" Target="embeddings/oleObject10.bin"/><Relationship Id="rId42" Type="http://schemas.openxmlformats.org/officeDocument/2006/relationships/image" Target="media/image27.wmf"/><Relationship Id="rId41" Type="http://schemas.openxmlformats.org/officeDocument/2006/relationships/oleObject" Target="embeddings/oleObject9.bin"/><Relationship Id="rId40" Type="http://schemas.openxmlformats.org/officeDocument/2006/relationships/image" Target="media/image26.wmf"/><Relationship Id="rId4" Type="http://schemas.openxmlformats.org/officeDocument/2006/relationships/footer" Target="footer2.xml"/><Relationship Id="rId39" Type="http://schemas.openxmlformats.org/officeDocument/2006/relationships/oleObject" Target="embeddings/oleObject8.bin"/><Relationship Id="rId38" Type="http://schemas.openxmlformats.org/officeDocument/2006/relationships/image" Target="media/image25.wmf"/><Relationship Id="rId37" Type="http://schemas.openxmlformats.org/officeDocument/2006/relationships/oleObject" Target="embeddings/oleObject7.bin"/><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wmf"/><Relationship Id="rId31" Type="http://schemas.openxmlformats.org/officeDocument/2006/relationships/oleObject" Target="embeddings/oleObject6.bin"/><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oleObject" Target="embeddings/oleObject5.bin"/><Relationship Id="rId27" Type="http://schemas.openxmlformats.org/officeDocument/2006/relationships/image" Target="media/image17.wmf"/><Relationship Id="rId26" Type="http://schemas.openxmlformats.org/officeDocument/2006/relationships/oleObject" Target="embeddings/oleObject4.bin"/><Relationship Id="rId25" Type="http://schemas.openxmlformats.org/officeDocument/2006/relationships/image" Target="media/image16.wmf"/><Relationship Id="rId24" Type="http://schemas.openxmlformats.org/officeDocument/2006/relationships/oleObject" Target="embeddings/oleObject3.bin"/><Relationship Id="rId23" Type="http://schemas.openxmlformats.org/officeDocument/2006/relationships/image" Target="media/image15.wmf"/><Relationship Id="rId22" Type="http://schemas.openxmlformats.org/officeDocument/2006/relationships/oleObject" Target="embeddings/oleObject2.bin"/><Relationship Id="rId21" Type="http://schemas.openxmlformats.org/officeDocument/2006/relationships/image" Target="media/image14.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8ED5E2-832B-44CD-AEE6-85C72D0E9569}">
  <ds:schemaRefs/>
</ds:datastoreItem>
</file>

<file path=docProps/app.xml><?xml version="1.0" encoding="utf-8"?>
<Properties xmlns="http://schemas.openxmlformats.org/officeDocument/2006/extended-properties" xmlns:vt="http://schemas.openxmlformats.org/officeDocument/2006/docPropsVTypes">
  <Template>Normal</Template>
  <Pages>72</Pages>
  <Words>38791</Words>
  <Characters>44423</Characters>
  <Lines>349</Lines>
  <Paragraphs>98</Paragraphs>
  <TotalTime>18</TotalTime>
  <ScaleCrop>false</ScaleCrop>
  <LinksUpToDate>false</LinksUpToDate>
  <CharactersWithSpaces>45265</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2021-11-29T23:00:00Z</dcterms:created>
  <dc:creator>☆水一方☆</dc:creator>
  <cp:lastModifiedBy>☆水一方☆</cp:lastModifiedBy>
  <dcterms:modified xsi:type="dcterms:W3CDTF">2021-12-05T07:38:17Z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ICV">
    <vt:lpwstr>98BB0F86DCEE435EA0F993D10F1C4D0E</vt:lpwstr>
  </property>
</Properties>
</file>