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firstLine="880" w:firstLineChars="200"/>
        <w:jc w:val="center"/>
        <w:textAlignment w:val="auto"/>
        <w:rPr>
          <w:rFonts w:hint="eastAsia" w:ascii="方正小标宋_GBK" w:hAnsi="方正小标宋_GBK" w:eastAsia="方正小标宋_GBK" w:cs="方正小标宋_GBK"/>
          <w:kern w:val="0"/>
          <w:sz w:val="44"/>
          <w:szCs w:val="44"/>
          <w:lang w:val="en-US" w:eastAsia="zh-CN" w:bidi="ar-SA"/>
        </w:rPr>
      </w:pPr>
      <w:bookmarkStart w:id="0" w:name="_GoBack"/>
      <w:bookmarkEnd w:id="0"/>
      <w:r>
        <w:rPr>
          <w:rFonts w:hint="eastAsia" w:ascii="方正小标宋_GBK" w:hAnsi="方正小标宋_GBK" w:eastAsia="方正小标宋_GBK" w:cs="方正小标宋_GBK"/>
          <w:kern w:val="0"/>
          <w:sz w:val="44"/>
          <w:szCs w:val="44"/>
          <w:lang w:val="en-US" w:eastAsia="zh-CN" w:bidi="ar-SA"/>
        </w:rPr>
        <w:t>彭阳县民政局2023年度“双随机、一公开”抽查工作计划表</w:t>
      </w:r>
    </w:p>
    <w:tbl>
      <w:tblPr>
        <w:tblStyle w:val="7"/>
        <w:tblpPr w:leftFromText="180" w:rightFromText="180" w:vertAnchor="text" w:horzAnchor="page" w:tblpX="2050" w:tblpY="389"/>
        <w:tblOverlap w:val="never"/>
        <w:tblW w:w="13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200"/>
        <w:gridCol w:w="4983"/>
        <w:gridCol w:w="1100"/>
        <w:gridCol w:w="900"/>
        <w:gridCol w:w="900"/>
        <w:gridCol w:w="884"/>
        <w:gridCol w:w="1133"/>
        <w:gridCol w:w="1317"/>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8" w:hRule="atLeast"/>
        </w:trPr>
        <w:tc>
          <w:tcPr>
            <w:tcW w:w="529"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1200"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抽查任务名称</w:t>
            </w:r>
          </w:p>
        </w:tc>
        <w:tc>
          <w:tcPr>
            <w:tcW w:w="4983"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抽查事项</w:t>
            </w:r>
          </w:p>
        </w:tc>
        <w:tc>
          <w:tcPr>
            <w:tcW w:w="1100"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发起方式</w:t>
            </w:r>
          </w:p>
        </w:tc>
        <w:tc>
          <w:tcPr>
            <w:tcW w:w="900"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抽查主体</w:t>
            </w:r>
          </w:p>
        </w:tc>
        <w:tc>
          <w:tcPr>
            <w:tcW w:w="900"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抽查对象</w:t>
            </w:r>
          </w:p>
        </w:tc>
        <w:tc>
          <w:tcPr>
            <w:tcW w:w="884"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抽查基数</w:t>
            </w:r>
          </w:p>
        </w:tc>
        <w:tc>
          <w:tcPr>
            <w:tcW w:w="1133"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抽查比例</w:t>
            </w:r>
          </w:p>
        </w:tc>
        <w:tc>
          <w:tcPr>
            <w:tcW w:w="1317"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抽查时间</w:t>
            </w:r>
          </w:p>
        </w:tc>
        <w:tc>
          <w:tcPr>
            <w:tcW w:w="466"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2" w:hRule="atLeast"/>
        </w:trPr>
        <w:tc>
          <w:tcPr>
            <w:tcW w:w="529"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200" w:type="dxa"/>
            <w:vAlign w:val="top"/>
          </w:tcPr>
          <w:p>
            <w:pPr>
              <w:jc w:val="center"/>
              <w:rPr>
                <w:rFonts w:hint="eastAsia" w:ascii="仿宋_GB2312" w:hAnsi="仿宋_GB2312" w:eastAsia="仿宋_GB2312" w:cs="仿宋_GB2312"/>
                <w:sz w:val="28"/>
                <w:szCs w:val="28"/>
                <w:vertAlign w:val="baseline"/>
                <w:lang w:val="en-US" w:eastAsia="zh-CN"/>
              </w:rPr>
            </w:pPr>
          </w:p>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对养老服务机构的监督检查</w:t>
            </w:r>
          </w:p>
        </w:tc>
        <w:tc>
          <w:tcPr>
            <w:tcW w:w="4983"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对全县养老机构的名称、住所、法定代表人或者主要负责人、服务范围等载明事项的变化情况通过书面检查或者现场检查等方式进行事中事后监督检查；对养老机构消防安全、食品安全、疫情防控、医疗卫生、建筑安全等情况进行监督检查。</w:t>
            </w:r>
          </w:p>
        </w:tc>
        <w:tc>
          <w:tcPr>
            <w:tcW w:w="1100"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彭阳县民政局自行组织发起</w:t>
            </w:r>
          </w:p>
        </w:tc>
        <w:tc>
          <w:tcPr>
            <w:tcW w:w="900"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养老服务中心</w:t>
            </w:r>
          </w:p>
        </w:tc>
        <w:tc>
          <w:tcPr>
            <w:tcW w:w="900"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全县养老机构</w:t>
            </w:r>
          </w:p>
        </w:tc>
        <w:tc>
          <w:tcPr>
            <w:tcW w:w="884"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1133" w:type="dxa"/>
            <w:vAlign w:val="top"/>
          </w:tcPr>
          <w:p>
            <w:pPr>
              <w:jc w:val="center"/>
              <w:rPr>
                <w:rFonts w:hint="eastAsia" w:ascii="仿宋_GB2312" w:hAnsi="仿宋_GB2312" w:eastAsia="仿宋_GB2312" w:cs="仿宋_GB2312"/>
                <w:kern w:val="0"/>
                <w:sz w:val="28"/>
                <w:szCs w:val="28"/>
                <w:lang w:val="en-US" w:eastAsia="zh-CN" w:bidi="ar-SA"/>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kern w:val="0"/>
                <w:sz w:val="28"/>
                <w:szCs w:val="28"/>
                <w:lang w:val="en-US" w:eastAsia="zh-CN" w:bidi="ar-SA"/>
              </w:rPr>
              <w:t>按不低于5%的比例抽取</w:t>
            </w:r>
          </w:p>
        </w:tc>
        <w:tc>
          <w:tcPr>
            <w:tcW w:w="1317"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2023年6月---10月底</w:t>
            </w:r>
          </w:p>
        </w:tc>
        <w:tc>
          <w:tcPr>
            <w:tcW w:w="466" w:type="dxa"/>
            <w:vAlign w:val="top"/>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2" w:hRule="atLeast"/>
        </w:trPr>
        <w:tc>
          <w:tcPr>
            <w:tcW w:w="529"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w:t>
            </w:r>
          </w:p>
        </w:tc>
        <w:tc>
          <w:tcPr>
            <w:tcW w:w="1200" w:type="dxa"/>
            <w:vAlign w:val="top"/>
          </w:tcPr>
          <w:p>
            <w:pPr>
              <w:jc w:val="both"/>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对兴建殡葬设施的监管检查</w:t>
            </w:r>
          </w:p>
        </w:tc>
        <w:tc>
          <w:tcPr>
            <w:tcW w:w="4983"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殡葬项目基础建设、主体支模、钢筋绑扎、现场安全等事项进行检查。</w:t>
            </w:r>
          </w:p>
        </w:tc>
        <w:tc>
          <w:tcPr>
            <w:tcW w:w="110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彭阳县民政局自行组织发起</w:t>
            </w:r>
          </w:p>
        </w:tc>
        <w:tc>
          <w:tcPr>
            <w:tcW w:w="900" w:type="dxa"/>
            <w:vAlign w:val="top"/>
          </w:tcPr>
          <w:p>
            <w:pPr>
              <w:jc w:val="both"/>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社会事务管理中心</w:t>
            </w:r>
          </w:p>
        </w:tc>
        <w:tc>
          <w:tcPr>
            <w:tcW w:w="900"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殡葬设施兴建经营者</w:t>
            </w:r>
          </w:p>
        </w:tc>
        <w:tc>
          <w:tcPr>
            <w:tcW w:w="884" w:type="dxa"/>
            <w:vAlign w:val="top"/>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w:t>
            </w:r>
          </w:p>
        </w:tc>
        <w:tc>
          <w:tcPr>
            <w:tcW w:w="1133" w:type="dxa"/>
            <w:vAlign w:val="top"/>
          </w:tcPr>
          <w:p>
            <w:pPr>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按不低于100%的比例抽取</w:t>
            </w:r>
          </w:p>
        </w:tc>
        <w:tc>
          <w:tcPr>
            <w:tcW w:w="1317" w:type="dxa"/>
            <w:vAlign w:val="top"/>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2023年6月---10月底</w:t>
            </w:r>
          </w:p>
        </w:tc>
        <w:tc>
          <w:tcPr>
            <w:tcW w:w="466" w:type="dxa"/>
            <w:vAlign w:val="top"/>
          </w:tcPr>
          <w:p>
            <w:pPr>
              <w:jc w:val="center"/>
              <w:rPr>
                <w:rFonts w:hint="eastAsia" w:ascii="仿宋_GB2312" w:hAnsi="仿宋_GB2312" w:eastAsia="仿宋_GB2312" w:cs="仿宋_GB2312"/>
                <w:kern w:val="2"/>
                <w:sz w:val="28"/>
                <w:szCs w:val="28"/>
                <w:vertAlign w:val="baseline"/>
                <w:lang w:val="en-US" w:eastAsia="zh-CN" w:bidi="ar-SA"/>
              </w:rPr>
            </w:pPr>
          </w:p>
        </w:tc>
      </w:tr>
    </w:tbl>
    <w:p/>
    <w:p>
      <w:pPr>
        <w:pStyle w:val="2"/>
        <w:numPr>
          <w:ilvl w:val="1"/>
          <w:numId w:val="0"/>
        </w:numPr>
        <w:ind w:leftChars="0"/>
      </w:pPr>
    </w:p>
    <w:sectPr>
      <w:pgSz w:w="16838" w:h="11906" w:orient="landscape"/>
      <w:pgMar w:top="1800" w:right="1440" w:bottom="174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2831B"/>
    <w:multiLevelType w:val="multilevel"/>
    <w:tmpl w:val="7382831B"/>
    <w:lvl w:ilvl="0" w:tentative="0">
      <w:start w:val="1"/>
      <w:numFmt w:val="chineseCounting"/>
      <w:lvlText w:val="第%1章"/>
      <w:lvlJc w:val="left"/>
      <w:pPr>
        <w:tabs>
          <w:tab w:val="left" w:pos="420"/>
        </w:tabs>
        <w:ind w:left="432" w:hanging="432"/>
      </w:pPr>
      <w:rPr>
        <w:rFonts w:hint="eastAsia" w:ascii="宋体" w:hAnsi="宋体" w:eastAsia="宋体" w:cs="宋体"/>
        <w:sz w:val="36"/>
        <w:szCs w:val="36"/>
      </w:rPr>
    </w:lvl>
    <w:lvl w:ilvl="1" w:tentative="0">
      <w:start w:val="1"/>
      <w:numFmt w:val="decimal"/>
      <w:lvlRestart w:val="0"/>
      <w:pStyle w:val="2"/>
      <w:isLgl/>
      <w:lvlText w:val="%1.%2."/>
      <w:lvlJc w:val="left"/>
      <w:pPr>
        <w:tabs>
          <w:tab w:val="left" w:pos="420"/>
        </w:tabs>
        <w:ind w:left="575" w:hanging="575"/>
      </w:pPr>
      <w:rPr>
        <w:rFonts w:hint="eastAsia" w:ascii="宋体" w:hAnsi="宋体" w:eastAsia="宋体" w:cs="宋体"/>
        <w:sz w:val="30"/>
        <w:szCs w:val="30"/>
      </w:rPr>
    </w:lvl>
    <w:lvl w:ilvl="2" w:tentative="0">
      <w:start w:val="1"/>
      <w:numFmt w:val="decimal"/>
      <w:lvlRestart w:val="0"/>
      <w:isLgl/>
      <w:lvlText w:val="%1.%2.%3."/>
      <w:lvlJc w:val="left"/>
      <w:pPr>
        <w:ind w:left="720" w:hanging="720"/>
      </w:pPr>
      <w:rPr>
        <w:rFonts w:hint="eastAsia" w:ascii="宋体" w:hAnsi="宋体" w:eastAsia="宋体" w:cs="宋体"/>
        <w:sz w:val="28"/>
        <w:szCs w:val="28"/>
      </w:rPr>
    </w:lvl>
    <w:lvl w:ilvl="3" w:tentative="0">
      <w:start w:val="1"/>
      <w:numFmt w:val="decimal"/>
      <w:isLgl/>
      <w:lvlText w:val="%1.%2.%3.%4."/>
      <w:lvlJc w:val="left"/>
      <w:pPr>
        <w:tabs>
          <w:tab w:val="left" w:pos="420"/>
        </w:tabs>
        <w:ind w:left="864" w:hanging="864"/>
      </w:pPr>
      <w:rPr>
        <w:rFonts w:hint="eastAsia" w:ascii="宋体" w:hAnsi="宋体" w:eastAsia="宋体" w:cs="宋体"/>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lODMyNDE5M2EwZDg0NzljNzAwYmU4YmVkZWVkMmIifQ=="/>
  </w:docVars>
  <w:rsids>
    <w:rsidRoot w:val="00000000"/>
    <w:rsid w:val="2ACF26BD"/>
    <w:rsid w:val="317B7CC4"/>
    <w:rsid w:val="4B317555"/>
    <w:rsid w:val="54BE44BB"/>
    <w:rsid w:val="59297C61"/>
    <w:rsid w:val="6D1B3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
    <w:qFormat/>
    <w:uiPriority w:val="0"/>
    <w:pPr>
      <w:keepNext/>
      <w:keepLines/>
      <w:spacing w:before="340" w:beforeLines="0" w:beforeAutospacing="0" w:after="330" w:afterLines="0" w:afterAutospacing="0" w:line="576" w:lineRule="auto"/>
      <w:outlineLvl w:val="0"/>
    </w:pPr>
    <w:rPr>
      <w:rFonts w:eastAsia="黑体"/>
      <w:b/>
      <w:kern w:val="44"/>
    </w:rPr>
  </w:style>
  <w:style w:type="paragraph" w:styleId="2">
    <w:name w:val="heading 2"/>
    <w:basedOn w:val="1"/>
    <w:next w:val="1"/>
    <w:unhideWhenUsed/>
    <w:qFormat/>
    <w:uiPriority w:val="9"/>
    <w:pPr>
      <w:keepNext/>
      <w:keepLines/>
      <w:numPr>
        <w:ilvl w:val="1"/>
        <w:numId w:val="1"/>
      </w:numPr>
      <w:spacing w:before="50" w:beforeLines="50" w:beforeAutospacing="0" w:after="50" w:afterLines="50" w:afterAutospacing="0" w:line="240" w:lineRule="auto"/>
      <w:ind w:left="575" w:hanging="575" w:firstLineChars="0"/>
      <w:outlineLvl w:val="1"/>
    </w:pPr>
    <w:rPr>
      <w:rFonts w:ascii="Calibri" w:hAnsi="Calibri" w:eastAsia="黑体"/>
      <w:sz w:val="30"/>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widowControl/>
      <w:suppressAutoHyphens/>
      <w:spacing w:before="280" w:beforeLines="0" w:after="280" w:afterLines="0"/>
      <w:jc w:val="left"/>
    </w:pPr>
    <w:rPr>
      <w:rFonts w:ascii="宋体" w:hAnsi="宋体" w:cs="宋体"/>
      <w:color w:val="000000"/>
      <w:kern w:val="1"/>
      <w:sz w:val="24"/>
      <w:lang w:eastAsia="ar-SA"/>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标题 1 Char"/>
    <w:link w:val="3"/>
    <w:uiPriority w:val="0"/>
    <w:rPr>
      <w:rFonts w:eastAsia="黑体"/>
      <w:b/>
      <w:kern w:val="44"/>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郭耀武</cp:lastModifiedBy>
  <dcterms:modified xsi:type="dcterms:W3CDTF">2023-11-22T07:16:45Z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F00DEFEAEA1948989B37A0A9BE17E5A2</vt:lpwstr>
  </property>
</Properties>
</file>