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 w:cs="宋体"/>
          <w:bCs/>
          <w:spacing w:val="-10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附件19</w:t>
      </w:r>
    </w:p>
    <w:p>
      <w:pPr>
        <w:spacing w:line="16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1800" w:firstLineChars="600"/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eastAsia="方正小标宋简体" w:cs="宋体"/>
          <w:spacing w:val="-10"/>
          <w:sz w:val="32"/>
          <w:szCs w:val="32"/>
        </w:rPr>
        <w:t>肥料经营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p>
      <w:pPr>
        <w:spacing w:line="480" w:lineRule="exact"/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</w:pPr>
    </w:p>
    <w:tbl>
      <w:tblPr>
        <w:tblStyle w:val="3"/>
        <w:tblW w:w="8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246"/>
        <w:gridCol w:w="2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1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是否销售应取得但未取得肥料登记证的肥料产品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2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是否存在假冒、伪造肥料登记证、登记证号的行为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3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销售的肥料产品技术指标是否与肥料登记证产品一致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4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是否销售包装上未附标签、标签残缺不全或擅自修改标签内容产品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5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是否建立肥料进货验收制度及销售台帐。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6</w:t>
            </w:r>
          </w:p>
        </w:tc>
        <w:tc>
          <w:tcPr>
            <w:tcW w:w="5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是否建立安全生产相关制度。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kern w:val="0"/>
                <w:szCs w:val="21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C414B"/>
    <w:rsid w:val="09B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2022-11-02T07:46:00Z</dcterms:created>
  <dc:creator>彭阳县农业农村局收文员</dc:creator>
  <cp:lastModifiedBy>彭阳县农业农村局收文员</cp:lastModifiedBy>
  <dcterms:modified xsi:type="dcterms:W3CDTF">2022-11-02T07:47:09Z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