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附件12</w:t>
      </w:r>
    </w:p>
    <w:p>
      <w:pPr>
        <w:spacing w:line="480" w:lineRule="exact"/>
        <w:ind w:firstLine="900" w:firstLineChars="300"/>
        <w:rPr>
          <w:rFonts w:ascii="方正小标宋简体" w:hAnsi="宋体" w:eastAsia="方正小标宋简体"/>
          <w:bCs/>
          <w:color w:val="000000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color w:val="000000"/>
          <w:spacing w:val="-10"/>
          <w:sz w:val="32"/>
          <w:szCs w:val="32"/>
        </w:rPr>
        <w:t>动物病原微生物实验活动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78"/>
        <w:gridCol w:w="1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实验室要明确专人负责生物安全工作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实验室定期召开生物安全会议并有记录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实验室应制定具体的生物安全管理制度和标准操作程序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实验室门牌标示清楚，悬挂位置明显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在实验室入口必须粘贴标有危险级别的生物危害标志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实验室出口应有在黑暗中可明确辨认的标识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工作台面不渗水，应耐酸、碱、耐热和有机溶剂等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实验室家具和设备设施的摆放应便于清洁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实验室应配备高压蒸汽灭菌器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有冲洗眼睛的紧急救护点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如果有通向室外的窗户，必须有纱窗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在实验室工作区外应有存放个人衣物的更衣柜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实验室应配备符合工作要求的生物安全柜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能产生传染物外溢、溅出和气溶胶的操作，都要求使用二级生物安全柜和物理防护设备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在实验室内工作必须穿工作服，离开实验室到非工作区前要脱掉工作服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应有专门保存病原微生物的冰箱、液氮罐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应有专人负责病原微生物的保存工作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病原微生物的使用要经过生物安全负责人批准并登记使用量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工作区内禁止吃、喝、抽烟、用手接触隐形眼睛和使用化妆品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操作传染性材料后要洗手，离开实验室前脱掉手套并洗手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操作病原微生物期间，在实验室入口必须标记生物危险信号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非本实验所需动物不允许进入实验室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实验产生的废弃物的处理严格按照国家法规进行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有相关记录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2CCC"/>
    <w:rsid w:val="638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2022-11-02T07:40:00Z</dcterms:created>
  <dc:creator>彭阳县农业农村局收文员</dc:creator>
  <cp:lastModifiedBy>彭阳县农业农村局收文员</cp:lastModifiedBy>
  <dcterms:modified xsi:type="dcterms:W3CDTF">2022-11-02T07:40:48Z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