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黑体" w:eastAsia="黑体"/>
          <w:sz w:val="32"/>
          <w:szCs w:val="32"/>
          <w:lang w:val="en-US" w:eastAsia="zh-CN"/>
        </w:rPr>
      </w:pPr>
      <w:r>
        <w:rPr>
          <w:rFonts w:hint="eastAsia" w:ascii="黑体" w:eastAsia="黑体"/>
          <w:sz w:val="32"/>
          <w:szCs w:val="32"/>
          <w:lang w:val="en-US" w:eastAsia="zh-CN"/>
        </w:rPr>
        <w:t>附件11</w:t>
      </w:r>
    </w:p>
    <w:p>
      <w:pPr>
        <w:spacing w:line="480" w:lineRule="exact"/>
        <w:ind w:firstLine="1200" w:firstLineChars="400"/>
        <w:rPr>
          <w:rFonts w:hint="eastAsia" w:ascii="方正小标宋简体" w:eastAsia="方正小标宋简体"/>
          <w:spacing w:val="-20"/>
          <w:sz w:val="32"/>
          <w:szCs w:val="32"/>
          <w:lang w:eastAsia="zh-CN"/>
        </w:rPr>
      </w:pPr>
      <w:bookmarkStart w:id="0" w:name="_GoBack"/>
      <w:r>
        <w:rPr>
          <w:rFonts w:hint="eastAsia" w:ascii="方正小标宋简体" w:eastAsia="方正小标宋简体" w:cs="宋体"/>
          <w:spacing w:val="-10"/>
          <w:sz w:val="32"/>
          <w:szCs w:val="32"/>
        </w:rPr>
        <w:t>动物防疫（动物诊疗场所）</w:t>
      </w:r>
      <w:r>
        <w:rPr>
          <w:rFonts w:hint="eastAsia" w:ascii="方正小标宋简体" w:eastAsia="方正小标宋简体" w:cs="仿宋_GB2312"/>
          <w:sz w:val="32"/>
          <w:szCs w:val="32"/>
          <w:lang w:eastAsia="zh-CN"/>
        </w:rPr>
        <w:t>监督检查</w:t>
      </w:r>
      <w:r>
        <w:rPr>
          <w:rFonts w:hint="eastAsia" w:ascii="方正小标宋简体" w:eastAsia="方正小标宋简体"/>
          <w:spacing w:val="-16"/>
          <w:sz w:val="32"/>
          <w:szCs w:val="32"/>
        </w:rPr>
        <w:t>抽查</w:t>
      </w:r>
      <w:r>
        <w:rPr>
          <w:rFonts w:hint="eastAsia" w:ascii="方正小标宋简体" w:eastAsia="方正小标宋简体"/>
          <w:spacing w:val="-20"/>
          <w:sz w:val="32"/>
          <w:szCs w:val="32"/>
          <w:lang w:eastAsia="zh-CN"/>
        </w:rPr>
        <w:t>工作指引</w:t>
      </w:r>
      <w:bookmarkEnd w:id="0"/>
    </w:p>
    <w:tbl>
      <w:tblPr>
        <w:tblStyle w:val="3"/>
        <w:tblW w:w="8980" w:type="dxa"/>
        <w:jc w:val="center"/>
        <w:tblInd w:w="0" w:type="dxa"/>
        <w:tblLayout w:type="fixed"/>
        <w:tblCellMar>
          <w:top w:w="0" w:type="dxa"/>
          <w:left w:w="108" w:type="dxa"/>
          <w:bottom w:w="0" w:type="dxa"/>
          <w:right w:w="108" w:type="dxa"/>
        </w:tblCellMar>
      </w:tblPr>
      <w:tblGrid>
        <w:gridCol w:w="1188"/>
        <w:gridCol w:w="6090"/>
        <w:gridCol w:w="1702"/>
      </w:tblGrid>
      <w:tr>
        <w:tblPrEx>
          <w:tblLayout w:type="fixed"/>
          <w:tblCellMar>
            <w:top w:w="0" w:type="dxa"/>
            <w:left w:w="108" w:type="dxa"/>
            <w:bottom w:w="0" w:type="dxa"/>
            <w:right w:w="108" w:type="dxa"/>
          </w:tblCellMar>
        </w:tblPrEx>
        <w:trPr>
          <w:trHeight w:val="490"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eastAsia="仿宋_GB2312"/>
                <w:bCs/>
                <w:sz w:val="24"/>
              </w:rPr>
            </w:pPr>
            <w:r>
              <w:rPr>
                <w:rFonts w:hint="eastAsia" w:ascii="仿宋_GB2312" w:eastAsia="仿宋_GB2312"/>
                <w:bCs/>
                <w:sz w:val="24"/>
              </w:rPr>
              <w:t>序号</w:t>
            </w:r>
          </w:p>
        </w:tc>
        <w:tc>
          <w:tcPr>
            <w:tcW w:w="609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_GB2312" w:eastAsia="仿宋_GB2312"/>
                <w:bCs/>
                <w:sz w:val="24"/>
              </w:rPr>
            </w:pPr>
            <w:r>
              <w:rPr>
                <w:rFonts w:hint="eastAsia" w:ascii="仿宋_GB2312" w:eastAsia="仿宋_GB2312"/>
                <w:bCs/>
                <w:sz w:val="24"/>
              </w:rPr>
              <w:t>检查内容</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300" w:lineRule="exact"/>
              <w:jc w:val="center"/>
              <w:rPr>
                <w:rFonts w:hint="eastAsia" w:ascii="仿宋_GB2312" w:eastAsia="仿宋_GB2312"/>
                <w:kern w:val="0"/>
                <w:sz w:val="24"/>
                <w:lang w:val="zh-CN"/>
              </w:rPr>
            </w:pPr>
            <w:r>
              <w:rPr>
                <w:rFonts w:hint="eastAsia" w:ascii="仿宋_GB2312" w:eastAsia="仿宋_GB2312"/>
                <w:bCs/>
                <w:kern w:val="0"/>
                <w:sz w:val="24"/>
                <w:lang w:val="zh-CN"/>
              </w:rPr>
              <w:t>检查结果</w:t>
            </w:r>
          </w:p>
        </w:tc>
      </w:tr>
      <w:tr>
        <w:tblPrEx>
          <w:tblLayout w:type="fixed"/>
          <w:tblCellMar>
            <w:top w:w="0" w:type="dxa"/>
            <w:left w:w="108" w:type="dxa"/>
            <w:bottom w:w="0" w:type="dxa"/>
            <w:right w:w="108" w:type="dxa"/>
          </w:tblCellMar>
        </w:tblPrEx>
        <w:trPr>
          <w:trHeight w:val="1915"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1</w:t>
            </w:r>
          </w:p>
        </w:tc>
        <w:tc>
          <w:tcPr>
            <w:tcW w:w="6090" w:type="dxa"/>
            <w:tcBorders>
              <w:top w:val="single" w:color="auto" w:sz="4" w:space="0"/>
              <w:left w:val="nil"/>
              <w:bottom w:val="single" w:color="auto" w:sz="4" w:space="0"/>
              <w:right w:val="single" w:color="auto" w:sz="4" w:space="0"/>
            </w:tcBorders>
            <w:vAlign w:val="center"/>
          </w:tcPr>
          <w:p>
            <w:pPr>
              <w:spacing w:line="400" w:lineRule="exact"/>
              <w:rPr>
                <w:rFonts w:hint="eastAsia" w:ascii="仿宋_GB2312" w:eastAsia="仿宋_GB2312"/>
                <w:sz w:val="24"/>
              </w:rPr>
            </w:pPr>
            <w:r>
              <w:rPr>
                <w:rFonts w:hint="eastAsia" w:ascii="仿宋_GB2312" w:hAnsi="宋体" w:eastAsia="仿宋_GB2312"/>
                <w:sz w:val="24"/>
              </w:rPr>
              <w:t>已取得动物诊疗许可证，未使用伪造、变造、受让、租用、借用的动物诊疗许可证，未出让、出租、出借动物诊疗许可证</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316"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2</w:t>
            </w:r>
          </w:p>
        </w:tc>
        <w:tc>
          <w:tcPr>
            <w:tcW w:w="6090" w:type="dxa"/>
            <w:tcBorders>
              <w:top w:val="single" w:color="auto" w:sz="4" w:space="0"/>
              <w:left w:val="nil"/>
              <w:bottom w:val="single" w:color="auto" w:sz="4" w:space="0"/>
              <w:right w:val="single" w:color="auto" w:sz="4" w:space="0"/>
            </w:tcBorders>
            <w:vAlign w:val="top"/>
          </w:tcPr>
          <w:p>
            <w:pPr>
              <w:widowControl/>
              <w:spacing w:line="400" w:lineRule="exact"/>
              <w:jc w:val="left"/>
              <w:rPr>
                <w:rFonts w:hint="eastAsia" w:ascii="仿宋_GB2312" w:eastAsia="仿宋_GB2312"/>
                <w:sz w:val="24"/>
              </w:rPr>
            </w:pPr>
            <w:r>
              <w:rPr>
                <w:rFonts w:hint="eastAsia" w:ascii="仿宋_GB2312" w:hAnsi="宋体" w:eastAsia="仿宋_GB2312"/>
                <w:sz w:val="24"/>
              </w:rPr>
              <w:t>未超出动物诊疗许可证核定的诊疗活动范围从事动物诊疗活动</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281"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3</w:t>
            </w:r>
          </w:p>
        </w:tc>
        <w:tc>
          <w:tcPr>
            <w:tcW w:w="6090" w:type="dxa"/>
            <w:tcBorders>
              <w:top w:val="single" w:color="auto" w:sz="4" w:space="0"/>
              <w:left w:val="nil"/>
              <w:bottom w:val="single" w:color="auto" w:sz="4" w:space="0"/>
              <w:right w:val="single" w:color="auto" w:sz="4" w:space="0"/>
            </w:tcBorders>
            <w:vAlign w:val="top"/>
          </w:tcPr>
          <w:p>
            <w:pPr>
              <w:widowControl/>
              <w:spacing w:line="400" w:lineRule="exact"/>
              <w:jc w:val="left"/>
              <w:rPr>
                <w:rFonts w:hint="eastAsia" w:ascii="仿宋_GB2312" w:eastAsia="仿宋_GB2312"/>
                <w:sz w:val="24"/>
              </w:rPr>
            </w:pPr>
            <w:r>
              <w:rPr>
                <w:rFonts w:hint="eastAsia" w:ascii="仿宋_GB2312" w:hAnsi="宋体" w:eastAsia="仿宋_GB2312"/>
                <w:sz w:val="24"/>
              </w:rPr>
              <w:t>变更从业地点、诊疗活动范围及时重新办理动物诊疗许可证</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281"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4</w:t>
            </w:r>
          </w:p>
        </w:tc>
        <w:tc>
          <w:tcPr>
            <w:tcW w:w="6090" w:type="dxa"/>
            <w:tcBorders>
              <w:top w:val="single" w:color="auto" w:sz="4" w:space="0"/>
              <w:left w:val="nil"/>
              <w:bottom w:val="single" w:color="auto" w:sz="4" w:space="0"/>
              <w:right w:val="single" w:color="auto" w:sz="4" w:space="0"/>
            </w:tcBorders>
            <w:vAlign w:val="top"/>
          </w:tcPr>
          <w:p>
            <w:pPr>
              <w:spacing w:line="400" w:lineRule="exact"/>
              <w:rPr>
                <w:rFonts w:hint="eastAsia" w:ascii="仿宋_GB2312" w:eastAsia="仿宋_GB2312"/>
                <w:sz w:val="24"/>
              </w:rPr>
            </w:pPr>
            <w:r>
              <w:rPr>
                <w:rFonts w:hint="eastAsia" w:ascii="仿宋_GB2312" w:hAnsi="宋体" w:eastAsia="仿宋_GB2312" w:cs="宋体"/>
                <w:kern w:val="0"/>
                <w:sz w:val="24"/>
              </w:rPr>
              <w:t>取得动物诊疗许可证后仍具备申请设立动物诊疗机构时应具备的条件</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93"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5</w:t>
            </w:r>
          </w:p>
        </w:tc>
        <w:tc>
          <w:tcPr>
            <w:tcW w:w="6090" w:type="dxa"/>
            <w:tcBorders>
              <w:top w:val="single" w:color="auto" w:sz="4" w:space="0"/>
              <w:left w:val="nil"/>
              <w:bottom w:val="single" w:color="auto" w:sz="4" w:space="0"/>
              <w:right w:val="single" w:color="auto" w:sz="4" w:space="0"/>
            </w:tcBorders>
            <w:vAlign w:val="top"/>
          </w:tcPr>
          <w:p>
            <w:pPr>
              <w:spacing w:line="400" w:lineRule="exact"/>
              <w:rPr>
                <w:rFonts w:hint="eastAsia" w:ascii="仿宋_GB2312" w:eastAsia="仿宋_GB2312"/>
                <w:sz w:val="24"/>
              </w:rPr>
            </w:pPr>
            <w:r>
              <w:rPr>
                <w:rFonts w:hint="eastAsia" w:ascii="仿宋_GB2312" w:hAnsi="宋体" w:eastAsia="仿宋_GB2312"/>
                <w:sz w:val="24"/>
              </w:rPr>
              <w:t>变更机构名称或者法定代表人及时办理变更手续</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281"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6</w:t>
            </w:r>
          </w:p>
        </w:tc>
        <w:tc>
          <w:tcPr>
            <w:tcW w:w="6090" w:type="dxa"/>
            <w:tcBorders>
              <w:top w:val="single" w:color="auto" w:sz="4" w:space="0"/>
              <w:left w:val="nil"/>
              <w:bottom w:val="single" w:color="auto" w:sz="4" w:space="0"/>
              <w:right w:val="single" w:color="auto" w:sz="4" w:space="0"/>
            </w:tcBorders>
            <w:vAlign w:val="top"/>
          </w:tcPr>
          <w:p>
            <w:pPr>
              <w:widowControl/>
              <w:spacing w:line="400" w:lineRule="exact"/>
              <w:jc w:val="left"/>
              <w:rPr>
                <w:rFonts w:hint="eastAsia" w:ascii="仿宋_GB2312" w:eastAsia="仿宋_GB2312"/>
                <w:sz w:val="24"/>
              </w:rPr>
            </w:pPr>
            <w:r>
              <w:rPr>
                <w:rFonts w:hint="eastAsia" w:ascii="仿宋_GB2312" w:hAnsi="宋体" w:eastAsia="仿宋_GB2312"/>
                <w:sz w:val="24"/>
              </w:rPr>
              <w:t>在诊疗场所悬挂动物诊疗许可证或者公示从业人员基本情况</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7</w:t>
            </w:r>
          </w:p>
        </w:tc>
        <w:tc>
          <w:tcPr>
            <w:tcW w:w="6090" w:type="dxa"/>
            <w:tcBorders>
              <w:top w:val="single" w:color="auto" w:sz="4" w:space="0"/>
              <w:left w:val="nil"/>
              <w:bottom w:val="single" w:color="auto" w:sz="4" w:space="0"/>
              <w:right w:val="single" w:color="auto" w:sz="4" w:space="0"/>
            </w:tcBorders>
            <w:vAlign w:val="top"/>
          </w:tcPr>
          <w:p>
            <w:pPr>
              <w:widowControl/>
              <w:spacing w:line="400" w:lineRule="exact"/>
              <w:jc w:val="left"/>
              <w:rPr>
                <w:rFonts w:hint="eastAsia" w:ascii="仿宋_GB2312" w:eastAsia="仿宋_GB2312"/>
                <w:sz w:val="24"/>
              </w:rPr>
            </w:pPr>
            <w:r>
              <w:rPr>
                <w:rFonts w:hint="eastAsia" w:ascii="仿宋_GB2312" w:hAnsi="宋体" w:eastAsia="仿宋_GB2312"/>
                <w:sz w:val="24"/>
              </w:rPr>
              <w:t>使用病历格式规范</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648"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8</w:t>
            </w:r>
          </w:p>
        </w:tc>
        <w:tc>
          <w:tcPr>
            <w:tcW w:w="6090" w:type="dxa"/>
            <w:tcBorders>
              <w:top w:val="single" w:color="auto" w:sz="4" w:space="0"/>
              <w:left w:val="nil"/>
              <w:bottom w:val="single" w:color="auto" w:sz="4" w:space="0"/>
              <w:right w:val="single" w:color="auto" w:sz="4" w:space="0"/>
            </w:tcBorders>
            <w:vAlign w:val="top"/>
          </w:tcPr>
          <w:p>
            <w:pPr>
              <w:spacing w:line="400" w:lineRule="exact"/>
              <w:rPr>
                <w:rFonts w:hint="eastAsia" w:ascii="仿宋_GB2312" w:eastAsia="仿宋_GB2312"/>
                <w:sz w:val="24"/>
              </w:rPr>
            </w:pPr>
            <w:r>
              <w:rPr>
                <w:rFonts w:hint="eastAsia" w:ascii="仿宋_GB2312" w:hAnsi="宋体" w:eastAsia="仿宋_GB2312"/>
                <w:sz w:val="24"/>
              </w:rPr>
              <w:t>开具处方时使用规范的处方笺</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r>
        <w:tblPrEx>
          <w:tblLayout w:type="fixed"/>
          <w:tblCellMar>
            <w:top w:w="0" w:type="dxa"/>
            <w:left w:w="108" w:type="dxa"/>
            <w:bottom w:w="0" w:type="dxa"/>
            <w:right w:w="108" w:type="dxa"/>
          </w:tblCellMar>
        </w:tblPrEx>
        <w:trPr>
          <w:trHeight w:val="1332" w:hRule="atLeast"/>
          <w:jc w:val="center"/>
        </w:trPr>
        <w:tc>
          <w:tcPr>
            <w:tcW w:w="11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9</w:t>
            </w:r>
          </w:p>
        </w:tc>
        <w:tc>
          <w:tcPr>
            <w:tcW w:w="6090" w:type="dxa"/>
            <w:tcBorders>
              <w:top w:val="single" w:color="auto" w:sz="4" w:space="0"/>
              <w:left w:val="nil"/>
              <w:bottom w:val="single" w:color="auto" w:sz="4" w:space="0"/>
              <w:right w:val="single" w:color="auto" w:sz="4" w:space="0"/>
            </w:tcBorders>
            <w:vAlign w:val="top"/>
          </w:tcPr>
          <w:p>
            <w:pPr>
              <w:widowControl/>
              <w:spacing w:line="400" w:lineRule="exact"/>
              <w:jc w:val="left"/>
              <w:rPr>
                <w:rFonts w:hint="eastAsia" w:ascii="仿宋_GB2312" w:eastAsia="仿宋_GB2312"/>
                <w:sz w:val="24"/>
              </w:rPr>
            </w:pPr>
            <w:r>
              <w:rPr>
                <w:rFonts w:hint="eastAsia" w:ascii="仿宋_GB2312" w:hAnsi="宋体" w:eastAsia="仿宋_GB2312"/>
                <w:sz w:val="24"/>
              </w:rPr>
              <w:t>不随意抛弃病死动物、动物病理组织和医疗废弃物，不排放未经无害化处理或者处理不达标的诊疗废水</w:t>
            </w:r>
          </w:p>
        </w:tc>
        <w:tc>
          <w:tcPr>
            <w:tcW w:w="1702"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spacing w:line="240" w:lineRule="exact"/>
              <w:jc w:val="center"/>
              <w:rPr>
                <w:rFonts w:hint="eastAsia" w:ascii="仿宋_GB2312" w:hAnsi="仿宋" w:eastAsia="仿宋_GB2312" w:cs="仿宋"/>
                <w:bCs/>
                <w:kern w:val="0"/>
                <w:sz w:val="24"/>
                <w:lang w:val="zh-CN"/>
              </w:rPr>
            </w:pPr>
            <w:r>
              <w:rPr>
                <w:rFonts w:hint="eastAsia" w:ascii="仿宋_GB2312" w:hAnsi="仿宋" w:eastAsia="仿宋_GB2312" w:cs="仿宋"/>
                <w:bCs/>
                <w:kern w:val="0"/>
                <w:sz w:val="24"/>
                <w:lang w:val="zh-CN"/>
              </w:rPr>
              <w:t>是□</w:t>
            </w:r>
            <w:r>
              <w:rPr>
                <w:rFonts w:hint="eastAsia" w:ascii="仿宋_GB2312" w:hAnsi="仿宋" w:eastAsia="仿宋_GB2312" w:cs="仿宋"/>
                <w:bCs/>
                <w:kern w:val="0"/>
                <w:sz w:val="24"/>
              </w:rPr>
              <w:t xml:space="preserve">  </w:t>
            </w:r>
            <w:r>
              <w:rPr>
                <w:rFonts w:hint="eastAsia" w:ascii="仿宋_GB2312" w:hAnsi="仿宋" w:eastAsia="仿宋_GB2312" w:cs="仿宋"/>
                <w:bCs/>
                <w:kern w:val="0"/>
                <w:sz w:val="24"/>
                <w:lang w:val="zh-CN"/>
              </w:rPr>
              <w:t>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226ED"/>
    <w:rsid w:val="13E2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2022-11-02T07:39:00Z</dcterms:created>
  <dc:creator>彭阳县农业农村局收文员</dc:creator>
  <cp:lastModifiedBy>彭阳县农业农村局收文员</cp:lastModifiedBy>
  <dcterms:modified xsi:type="dcterms:W3CDTF">2022-11-02T07:40:04Z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