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附件8</w:t>
      </w:r>
    </w:p>
    <w:p>
      <w:pPr>
        <w:spacing w:line="480" w:lineRule="exact"/>
        <w:ind w:firstLine="600" w:firstLineChars="200"/>
        <w:rPr>
          <w:rFonts w:ascii="方正小标宋简体" w:eastAsia="方正小标宋简体" w:cs="宋体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宋体"/>
          <w:spacing w:val="-10"/>
          <w:sz w:val="32"/>
          <w:szCs w:val="32"/>
        </w:rPr>
        <w:t>动物</w:t>
      </w:r>
      <w:r>
        <w:rPr>
          <w:rFonts w:hint="eastAsia" w:ascii="方正小标宋简体" w:hAnsi="宋体" w:eastAsia="方正小标宋简体" w:cs="仿宋_GB2312"/>
          <w:bCs/>
          <w:color w:val="000000"/>
          <w:spacing w:val="-10"/>
          <w:sz w:val="32"/>
          <w:szCs w:val="32"/>
        </w:rPr>
        <w:t>防疫（动物饲养场、养殖小区）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9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185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kern w:val="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zh-CN"/>
              </w:rPr>
              <w:t>检查结果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本单位已取得动物防疫条件合格证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取得动物防疫条件合格证后未变更场所地址、经营范围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取得动物防疫条件合格证后，未曾擅自变更布局、设施设备和制度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配备与其养殖规模相适应的执业兽医或者乡村兽医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消毒设备配备、运行及消毒设备正常运行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动物强制免疫正常接种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畜禽标识正常使用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种用、乳用动物正常检测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动物产地检疫正常申报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场内动物未发生重大动物疫病，发现动物染疫或者疑似染疫据实上报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染疫动物以及染疫动物排泄物、染疫动物产品、病死或者死因不明的动物尸体等无害化处理设施设备配备正常运行，无害化处理正常实施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跨省引进用于饲养的非乳用、非种用动物到达目的地后及时向所在地县级动物卫生监督机构报告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6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跨省引进乳用动物、种用动物及其精液、胚胎、种蛋后严格实施隔离观察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09CA"/>
    <w:rsid w:val="08A9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2022-11-02T07:37:00Z</dcterms:created>
  <dc:creator>彭阳县农业农村局收文员</dc:creator>
  <cp:lastModifiedBy>彭阳县农业农村局收文员</cp:lastModifiedBy>
  <dcterms:modified xsi:type="dcterms:W3CDTF">2022-11-02T07:37:27Z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