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eastAsia="黑体"/>
          <w:sz w:val="32"/>
          <w:szCs w:val="32"/>
          <w:lang w:eastAsia="zh-CN"/>
        </w:rPr>
      </w:pPr>
      <w:r>
        <w:rPr>
          <w:rFonts w:hint="eastAsia" w:ascii="黑体" w:eastAsia="黑体"/>
          <w:sz w:val="32"/>
          <w:szCs w:val="32"/>
          <w:lang w:val="en-US" w:eastAsia="zh-CN"/>
        </w:rPr>
        <w:t>附件6</w:t>
      </w:r>
    </w:p>
    <w:p>
      <w:pPr>
        <w:spacing w:line="480" w:lineRule="exact"/>
        <w:ind w:firstLine="300" w:firstLineChars="100"/>
        <w:rPr>
          <w:rFonts w:ascii="方正小标宋简体" w:hAnsi="宋体" w:eastAsia="方正小标宋简体"/>
          <w:bCs/>
          <w:color w:val="000000"/>
          <w:spacing w:val="-10"/>
          <w:sz w:val="36"/>
          <w:szCs w:val="36"/>
        </w:rPr>
      </w:pPr>
      <w:bookmarkStart w:id="0" w:name="_GoBack"/>
      <w:r>
        <w:rPr>
          <w:rFonts w:hint="eastAsia" w:ascii="方正小标宋简体" w:hAnsi="宋体" w:eastAsia="方正小标宋简体" w:cs="仿宋_GB2312"/>
          <w:bCs/>
          <w:color w:val="000000"/>
          <w:spacing w:val="-10"/>
          <w:sz w:val="32"/>
          <w:szCs w:val="32"/>
        </w:rPr>
        <w:t>饲料和饲料添加剂企业生产经营活动</w:t>
      </w:r>
      <w:r>
        <w:rPr>
          <w:rFonts w:hint="eastAsia" w:ascii="方正小标宋简体" w:eastAsia="方正小标宋简体" w:cs="仿宋_GB2312"/>
          <w:sz w:val="32"/>
          <w:szCs w:val="32"/>
          <w:lang w:eastAsia="zh-CN"/>
        </w:rPr>
        <w:t>监督检查</w:t>
      </w:r>
      <w:r>
        <w:rPr>
          <w:rFonts w:hint="eastAsia" w:ascii="方正小标宋简体" w:eastAsia="方正小标宋简体"/>
          <w:spacing w:val="-16"/>
          <w:sz w:val="32"/>
          <w:szCs w:val="32"/>
        </w:rPr>
        <w:t>抽查</w:t>
      </w:r>
      <w:r>
        <w:rPr>
          <w:rFonts w:hint="eastAsia" w:ascii="方正小标宋简体" w:eastAsia="方正小标宋简体"/>
          <w:spacing w:val="-20"/>
          <w:sz w:val="32"/>
          <w:szCs w:val="32"/>
          <w:lang w:eastAsia="zh-CN"/>
        </w:rPr>
        <w:t>工作指引</w:t>
      </w:r>
      <w:bookmarkEnd w:id="0"/>
    </w:p>
    <w:tbl>
      <w:tblPr>
        <w:tblStyle w:val="3"/>
        <w:tblW w:w="9380" w:type="dxa"/>
        <w:jc w:val="center"/>
        <w:tblInd w:w="0" w:type="dxa"/>
        <w:tblLayout w:type="fixed"/>
        <w:tblCellMar>
          <w:top w:w="0" w:type="dxa"/>
          <w:left w:w="108" w:type="dxa"/>
          <w:bottom w:w="0" w:type="dxa"/>
          <w:right w:w="108" w:type="dxa"/>
        </w:tblCellMar>
      </w:tblPr>
      <w:tblGrid>
        <w:gridCol w:w="715"/>
        <w:gridCol w:w="1227"/>
        <w:gridCol w:w="6007"/>
        <w:gridCol w:w="1431"/>
      </w:tblGrid>
      <w:tr>
        <w:tblPrEx>
          <w:tblLayout w:type="fixed"/>
          <w:tblCellMar>
            <w:top w:w="0" w:type="dxa"/>
            <w:left w:w="108" w:type="dxa"/>
            <w:bottom w:w="0" w:type="dxa"/>
            <w:right w:w="108" w:type="dxa"/>
          </w:tblCellMar>
        </w:tblPrEx>
        <w:trPr>
          <w:trHeight w:val="57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bCs/>
                <w:color w:val="000000"/>
                <w:sz w:val="24"/>
              </w:rPr>
            </w:pPr>
            <w:r>
              <w:rPr>
                <w:rFonts w:hint="eastAsia" w:ascii="仿宋_GB2312" w:eastAsia="仿宋_GB2312"/>
                <w:bCs/>
                <w:color w:val="000000"/>
                <w:sz w:val="24"/>
              </w:rPr>
              <w:t>序号</w:t>
            </w:r>
          </w:p>
        </w:tc>
        <w:tc>
          <w:tcPr>
            <w:tcW w:w="12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_GB2312" w:eastAsia="仿宋_GB2312"/>
                <w:bCs/>
                <w:color w:val="000000"/>
                <w:sz w:val="24"/>
              </w:rPr>
            </w:pPr>
            <w:r>
              <w:rPr>
                <w:rFonts w:hint="eastAsia" w:ascii="仿宋_GB2312" w:eastAsia="仿宋_GB2312"/>
                <w:bCs/>
                <w:color w:val="000000"/>
                <w:sz w:val="24"/>
              </w:rPr>
              <w:t>检查内容</w:t>
            </w: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bCs/>
                <w:color w:val="000000"/>
                <w:sz w:val="24"/>
              </w:rPr>
            </w:pPr>
            <w:r>
              <w:rPr>
                <w:rFonts w:hint="eastAsia" w:ascii="仿宋_GB2312" w:eastAsia="仿宋_GB2312"/>
                <w:bCs/>
                <w:color w:val="000000"/>
                <w:sz w:val="24"/>
              </w:rPr>
              <w:t>检查要求</w:t>
            </w:r>
          </w:p>
        </w:tc>
        <w:tc>
          <w:tcPr>
            <w:tcW w:w="143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_GB2312" w:eastAsia="仿宋_GB2312"/>
                <w:bCs/>
                <w:color w:val="000000"/>
                <w:sz w:val="24"/>
              </w:rPr>
            </w:pPr>
            <w:r>
              <w:rPr>
                <w:rFonts w:hint="eastAsia" w:ascii="仿宋_GB2312" w:eastAsia="仿宋_GB2312"/>
                <w:bCs/>
                <w:color w:val="000000"/>
                <w:sz w:val="24"/>
              </w:rPr>
              <w:t>检查结果</w:t>
            </w:r>
          </w:p>
        </w:tc>
      </w:tr>
      <w:tr>
        <w:tblPrEx>
          <w:tblLayout w:type="fixed"/>
          <w:tblCellMar>
            <w:top w:w="0" w:type="dxa"/>
            <w:left w:w="108" w:type="dxa"/>
            <w:bottom w:w="0" w:type="dxa"/>
            <w:right w:w="108" w:type="dxa"/>
          </w:tblCellMar>
        </w:tblPrEx>
        <w:trPr>
          <w:trHeight w:val="683"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1</w:t>
            </w:r>
          </w:p>
        </w:tc>
        <w:tc>
          <w:tcPr>
            <w:tcW w:w="1227" w:type="dxa"/>
            <w:vMerge w:val="restart"/>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人员要求</w:t>
            </w: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质量负责人、技术负责人、生产负责人具备生产产品所需相关专业的学历或职称，不得互相兼任。</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83"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2</w:t>
            </w:r>
          </w:p>
        </w:tc>
        <w:tc>
          <w:tcPr>
            <w:tcW w:w="1227" w:type="dxa"/>
            <w:vMerge w:val="continue"/>
            <w:tcBorders>
              <w:top w:val="nil"/>
              <w:left w:val="nil"/>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有2名以上的专职饲料检验化验员，能够正确操作检验仪器，熟悉检验步骤。</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83"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eastAsia="仿宋_GB2312"/>
                <w:color w:val="000000"/>
                <w:sz w:val="24"/>
              </w:rPr>
              <w:t>3</w:t>
            </w:r>
          </w:p>
        </w:tc>
        <w:tc>
          <w:tcPr>
            <w:tcW w:w="12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厂房要求</w:t>
            </w: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生产区按照生产工序合理布局，有相对独立的、与生产规模相匹配的生产车间、原料库、配料间和成品库。</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997"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4</w:t>
            </w:r>
          </w:p>
        </w:tc>
        <w:tc>
          <w:tcPr>
            <w:tcW w:w="1227" w:type="dxa"/>
            <w:vMerge w:val="restart"/>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生产车间及设备</w:t>
            </w: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配合饲料、浓缩饲料、精料补充料生产线，添加剂预混合饲料生产线，混合型饲料添加剂3类生产线单独设立，设备不得共用。</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83"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5</w:t>
            </w:r>
          </w:p>
        </w:tc>
        <w:tc>
          <w:tcPr>
            <w:tcW w:w="1227" w:type="dxa"/>
            <w:vMerge w:val="continue"/>
            <w:tcBorders>
              <w:top w:val="nil"/>
              <w:left w:val="nil"/>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固态和液态添加剂预混合饲料生产车间分别设立；固态和液态混合型饲料添加剂生产车间分别设立。</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83"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6</w:t>
            </w:r>
          </w:p>
        </w:tc>
        <w:tc>
          <w:tcPr>
            <w:tcW w:w="1227" w:type="dxa"/>
            <w:vMerge w:val="continue"/>
            <w:tcBorders>
              <w:top w:val="nil"/>
              <w:left w:val="nil"/>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反刍动物添加剂预混合饲料生产线与其他含有动物源性成分的添加剂预混合饲料生产线分别设立。</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35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7</w:t>
            </w:r>
          </w:p>
        </w:tc>
        <w:tc>
          <w:tcPr>
            <w:tcW w:w="1227" w:type="dxa"/>
            <w:vMerge w:val="continue"/>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小料配制和复核分别配置电子秤。</w:t>
            </w:r>
          </w:p>
        </w:tc>
        <w:tc>
          <w:tcPr>
            <w:tcW w:w="1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8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8</w:t>
            </w: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s="仿宋_GB2312"/>
                <w:color w:val="000000"/>
                <w:szCs w:val="21"/>
              </w:rPr>
              <w:t>对于产品配方中有添加比例小于0.2%的原料的，应当单独配备至少一台混合机并配备相应的除尘设备。</w:t>
            </w:r>
          </w:p>
        </w:tc>
        <w:tc>
          <w:tcPr>
            <w:tcW w:w="1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8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9</w:t>
            </w:r>
          </w:p>
        </w:tc>
        <w:tc>
          <w:tcPr>
            <w:tcW w:w="122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4"/>
              </w:rPr>
            </w:pPr>
            <w:r>
              <w:rPr>
                <w:rFonts w:hint="eastAsia" w:ascii="仿宋_GB2312" w:eastAsia="仿宋_GB2312"/>
                <w:sz w:val="24"/>
              </w:rPr>
              <w:t>仓储设施</w:t>
            </w: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存放维生素、微生物添加剂和酶制剂等热敏物质的贮存间面积与生产规模相匹配，密闭性能良好，并配备空调。</w:t>
            </w:r>
          </w:p>
        </w:tc>
        <w:tc>
          <w:tcPr>
            <w:tcW w:w="1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cantSplit/>
          <w:trHeight w:val="68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10</w:t>
            </w: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亚硒酸钠等按危险化学品管理的饲料添加剂有独立的贮存间或贮存柜。</w:t>
            </w:r>
          </w:p>
        </w:tc>
        <w:tc>
          <w:tcPr>
            <w:tcW w:w="1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cantSplit/>
          <w:trHeight w:val="67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11</w:t>
            </w: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s="仿宋_GB2312"/>
                <w:color w:val="000000"/>
                <w:szCs w:val="21"/>
              </w:rPr>
              <w:t>药物饲料添加剂应当有独立的贮存间，面积与生产规模相匹配。</w:t>
            </w:r>
          </w:p>
        </w:tc>
        <w:tc>
          <w:tcPr>
            <w:tcW w:w="143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cantSplit/>
          <w:trHeight w:val="673"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eastAsia="仿宋_GB2312"/>
                <w:color w:val="000000"/>
                <w:sz w:val="24"/>
              </w:rPr>
              <w:t>12</w:t>
            </w:r>
          </w:p>
        </w:tc>
        <w:tc>
          <w:tcPr>
            <w:tcW w:w="12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检验化验室</w:t>
            </w:r>
          </w:p>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要求</w:t>
            </w: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检验化验室在厂区内独立设置，与生产车间和仓储区域分离。</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351"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eastAsia="仿宋_GB2312"/>
                <w:color w:val="000000"/>
                <w:sz w:val="24"/>
              </w:rPr>
              <w:t>13</w:t>
            </w:r>
          </w:p>
        </w:tc>
        <w:tc>
          <w:tcPr>
            <w:tcW w:w="1227" w:type="dxa"/>
            <w:vMerge w:val="continue"/>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配备规定要求的检验仪器。</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320"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olor w:val="000000"/>
                <w:sz w:val="24"/>
              </w:rPr>
            </w:pPr>
            <w:r>
              <w:rPr>
                <w:rFonts w:hint="eastAsia" w:ascii="仿宋_GB2312" w:eastAsia="仿宋_GB2312"/>
                <w:color w:val="000000"/>
                <w:sz w:val="24"/>
              </w:rPr>
              <w:t>14</w:t>
            </w:r>
          </w:p>
        </w:tc>
        <w:tc>
          <w:tcPr>
            <w:tcW w:w="1227" w:type="dxa"/>
            <w:vMerge w:val="continue"/>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24"/>
              </w:rPr>
            </w:pP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检验化验室包括天平室、理化分析室、仪器室和留样观察室等功能室。检验化验室使用面积满足仪器、设备、设施布局和检验化验工作需要。危险品应独立存放并执行双人双锁。</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031" w:hRule="atLeast"/>
          <w:jc w:val="center"/>
        </w:trPr>
        <w:tc>
          <w:tcPr>
            <w:tcW w:w="71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15</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企业管理</w:t>
            </w:r>
          </w:p>
          <w:p>
            <w:pPr>
              <w:widowControl/>
              <w:spacing w:line="240" w:lineRule="exact"/>
              <w:jc w:val="center"/>
              <w:rPr>
                <w:rFonts w:hint="eastAsia" w:ascii="仿宋_GB2312" w:eastAsia="仿宋_GB2312"/>
                <w:color w:val="000000"/>
                <w:sz w:val="24"/>
              </w:rPr>
            </w:pPr>
            <w:r>
              <w:rPr>
                <w:rFonts w:hint="eastAsia" w:ascii="仿宋_GB2312" w:eastAsia="仿宋_GB2312"/>
                <w:color w:val="000000"/>
                <w:sz w:val="24"/>
              </w:rPr>
              <w:t>制度</w:t>
            </w:r>
          </w:p>
        </w:tc>
        <w:tc>
          <w:tcPr>
            <w:tcW w:w="6007" w:type="dxa"/>
            <w:tcBorders>
              <w:top w:val="nil"/>
              <w:left w:val="nil"/>
              <w:bottom w:val="single" w:color="auto" w:sz="4" w:space="0"/>
              <w:right w:val="single" w:color="auto" w:sz="4" w:space="0"/>
            </w:tcBorders>
            <w:vAlign w:val="center"/>
          </w:tcPr>
          <w:p>
            <w:pPr>
              <w:widowControl/>
              <w:spacing w:line="240" w:lineRule="exact"/>
              <w:rPr>
                <w:rFonts w:hint="eastAsia" w:ascii="仿宋_GB2312" w:eastAsia="仿宋_GB2312"/>
                <w:color w:val="000000"/>
                <w:szCs w:val="21"/>
              </w:rPr>
            </w:pPr>
            <w:r>
              <w:rPr>
                <w:rFonts w:hint="eastAsia" w:ascii="仿宋_GB2312" w:eastAsia="仿宋_GB2312"/>
                <w:color w:val="000000"/>
                <w:szCs w:val="21"/>
              </w:rPr>
              <w:t>建立原料采购与管理、生产过程控制、产品质量控制、产品贮存与运输、产品召回、人员与卫生、文件与记录管理等管理制度并执行良好。</w:t>
            </w:r>
          </w:p>
        </w:tc>
        <w:tc>
          <w:tcPr>
            <w:tcW w:w="1431"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6C25"/>
    <w:rsid w:val="2BC7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2022-11-02T07:35:00Z</dcterms:created>
  <dc:creator>彭阳县农业农村局收文员</dc:creator>
  <cp:lastModifiedBy>彭阳县农业农村局收文员</cp:lastModifiedBy>
  <dcterms:modified xsi:type="dcterms:W3CDTF">2022-11-02T07:35:47Z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