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9FBFA"/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年农业机械安全随机抽查工作计划</w:t>
      </w: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</w:p>
    <w:p>
      <w:pPr>
        <w:spacing w:line="600" w:lineRule="exact"/>
        <w:ind w:firstLine="640" w:firstLineChars="200"/>
        <w:jc w:val="both"/>
        <w:rPr>
          <w:rFonts w:hint="default" w:ascii="Times New Roman" w:hAnsi="Times New Roman" w:eastAsia="仿宋" w:cs="Times New Roman"/>
          <w:b/>
          <w:color w:val="0000FF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为做好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我市农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械安全监督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随机抽查，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进一步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加强监督检查，规范执法行为，根据相关法律法规及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《自治区农牧厅“双随机、一公开”工作实施细则（试行）》（宁农（经）发﹝2016﹞21号）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的规定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制定本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计划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一、总体要求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按照“依法监督、公正高效、公开透明”的原则，进一步完善农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械及拖拉机驾培机构安全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检查随机抽查制度，充分发挥监督管理作用，组织开展农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械及拖拉机驾培机构安全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随机抽查工作，实现“双随机一公开”监管全覆盖，推动全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农业机械安全监督合法、规范、有序发展。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二、实施内容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（一）抽查依据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1．《农业机械安全监督管理条例》第九条第二款：县级以上地方人民政府农业机械化主管部门、工业主管部门和市场监督管理部门等有关部门按照各自职责，负责本行政区域的农业机械安全监督管理工作。　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2.《农业机械安全监督管理条例》第四十条：农业机械安全监督管理执法人员在农田、场院等场所进行农业机械安全监督检查时，可采取下列措施：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（1）向有关单位和个人了解情况，查阅、复制有关资料；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（2）查验拖拉机、联合收割机证书、牌照及操作证件；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（3）检查危及人身财产安全的农业机械的安全状况，对存在重大事故隐患的农业机械，责令当事人立即停止作业或者停止农业机械转移，并进行维修；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（4）责令农业机械操作人员改正违规操作行为。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（二）抽查项目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农业机械及其操作（驾驶）人员在田间、场院的安全生产情况。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 xml:space="preserve">（三）抽查对象 </w:t>
      </w:r>
      <w:r>
        <w:rPr>
          <w:rFonts w:hint="default" w:ascii="Times New Roman" w:hAnsi="Times New Roman" w:eastAsia="仿宋" w:cs="Times New Roman"/>
          <w:b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对农业机械及其操作（驾驶）人员的安全检查根据监管对象以流动为主的特点，按照各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乡镇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划分的监管区域为对象建立检查对象名录库，实行动态管理。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（四）抽查比例、频次、时间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抽查比例原则上不低于检查对象名录库的5%，抽查频次为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次，2020年上半年和下半年各一次，分别为4月至6月和9月至11月。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三、建立抽查机制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31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农业机械</w:t>
      </w:r>
      <w:r>
        <w:rPr>
          <w:rFonts w:hint="eastAsia" w:ascii="仿宋" w:hAnsi="仿宋" w:eastAsia="仿宋" w:cs="仿宋"/>
          <w:sz w:val="32"/>
          <w:szCs w:val="32"/>
        </w:rPr>
        <w:t>“双随机”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县农机中心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牵头组织，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农业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综合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行政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执法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配合，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通过“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抽签助手”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按照区域随机抽取检查对象和检查人员，抽取过程采取录像、拍照等方式记录，确保全程留痕。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过深入农田、场院等场所对农业机械作业安全进行检查，纠正违章和查处各类违法行为；对发现存在农机安全隐患的，责令农机所有人（管理人、操作人）落实农机安全隐患自查自治责任，并要求当事人书面保证限期完成整改；对抽查发现违法违规行为的，严格依法依规进行惩处。属于其他部门管辖的，及时移送相关部门处理；涉嫌构成犯罪的，依法移送公安机关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四、抽查结果运用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检查人员应于检查结束后及时完成检查报告。检查报告包括检查对象、检查时间、检查内容、现场检查记录、检查情况的处理意见和建议、查处结果等事项。检查档案应做到“一检查一归档”并妥善保管。随机抽查结果遵循“一检查一通报”制度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及时在网上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公布抽查情况和查处结果。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五、保障措施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（一）加强组织领导。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实现“双随机一公开”监管全覆盖，加强事中事后监管工作，是推进“放管服”改革、转变政府职能的重要抓手。</w:t>
      </w: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责任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要切实加强组织领导，做到工作方案亲自部署、关键环节亲自协调、落实情况亲自督查，狠抓监管工作落实，确保随机抽查工作有效开展。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  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  （二）严守执法纪律。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开展随机抽查工作，执法人员应当严格遵守相关法律法规规章制度，遵守工作纪律，依法行政，公正廉洁执法。要转变执法理念，提高执法能力，规范事中事后监管行为，防范失职渎职或消极不作为的情况发生。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481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（三）加强宣传力度。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以随机方式开展抽查工作，是行政执法监管方式的探索和创新，要加大宣传力度，积极争取社会各界对随机抽查工作的了解和支持，并参与抽查工作监督，为随机抽查工作的顺利开展营造良好氛围。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560" w:firstLineChars="800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560" w:firstLineChars="800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560" w:firstLineChars="800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560" w:firstLineChars="800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560" w:firstLineChars="800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560" w:firstLineChars="800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560" w:firstLineChars="800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560" w:firstLineChars="800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560" w:firstLineChars="800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560" w:firstLineChars="800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560" w:firstLineChars="800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560" w:firstLineChars="800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560" w:firstLineChars="800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560" w:firstLineChars="800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560" w:firstLineChars="800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560" w:firstLineChars="800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560" w:firstLineChars="8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32"/>
          <w:szCs w:val="32"/>
          <w:shd w:val="clear" w:color="auto" w:fill="FFFFFF"/>
          <w:lang w:val="en-US" w:eastAsia="zh-CN"/>
        </w:rPr>
        <w:t>农机安全生产随机检查记录表</w:t>
      </w:r>
    </w:p>
    <w:tbl>
      <w:tblPr>
        <w:tblStyle w:val="12"/>
        <w:tblpPr w:leftFromText="180" w:rightFromText="180" w:vertAnchor="text" w:horzAnchor="page" w:tblpX="1558" w:tblpY="131"/>
        <w:tblOverlap w:val="never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180"/>
        <w:gridCol w:w="1344"/>
        <w:gridCol w:w="1503"/>
        <w:gridCol w:w="1281"/>
        <w:gridCol w:w="372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农机经营者基本信息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经营者名称</w:t>
            </w:r>
          </w:p>
        </w:tc>
        <w:tc>
          <w:tcPr>
            <w:tcW w:w="56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法人（负责人）代表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56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经营者地址</w:t>
            </w:r>
          </w:p>
        </w:tc>
        <w:tc>
          <w:tcPr>
            <w:tcW w:w="56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56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检查事项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机库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机库环境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45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是否存放易燃易爆物品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45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消防设施配备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45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电器设施是否存在安全隐患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45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防盗措施情况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注册登记、安全技术检查和维修保养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拖拉机、收割机注册登记情况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45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拖拉机、收割机检查合格情况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45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其他农业机械登记检查合格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45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拖拉机、收割机悬挂号牌情况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45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农业机械安全设施齐全（有挂车、配套农具等）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45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农业机械维护保养情况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驾驶人持证作业 和安全教育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全部持有驾驶证参加作业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45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 xml:space="preserve">定期安全教育培训情况 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油库建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设情况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油库是否有消防设施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45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消防器材与油库是否相适应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45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消防设施有效性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45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油物料是否混放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45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油库防雷、防静电装置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45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油库内电路是否安全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45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油库周围是否悬挂警示标志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其他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配件间、修理场所等存在的安全问题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现场检查意见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受检方意见</w:t>
            </w:r>
          </w:p>
        </w:tc>
        <w:tc>
          <w:tcPr>
            <w:tcW w:w="696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570" w:firstLineChars="17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受检方代表（签章）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90" w:firstLineChars="19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检查人员及证件号码</w:t>
            </w:r>
          </w:p>
        </w:tc>
        <w:tc>
          <w:tcPr>
            <w:tcW w:w="696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90" w:firstLineChars="19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年 月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481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1"/>
          <w:szCs w:val="21"/>
          <w:shd w:val="clear" w:color="auto" w:fill="FFFFFF"/>
          <w:lang w:val="en-US" w:eastAsia="zh-CN"/>
        </w:rPr>
        <w:sectPr>
          <w:pgSz w:w="11910" w:h="16840"/>
          <w:pgMar w:top="2154" w:right="1474" w:bottom="1984" w:left="1587" w:header="0" w:footer="890" w:gutter="0"/>
          <w:pgNumType w:start="5"/>
          <w:cols w:equalWidth="0" w:num="1">
            <w:col w:w="9730"/>
          </w:cols>
          <w:rtlGutter w:val="0"/>
          <w:docGrid w:linePitch="0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/>
        <w:jc w:val="center"/>
        <w:textAlignment w:val="auto"/>
        <w:outlineLvl w:val="9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333333"/>
          <w:sz w:val="32"/>
          <w:szCs w:val="32"/>
          <w:lang w:val="en-US" w:eastAsia="zh-CN"/>
        </w:rPr>
        <w:t>彭阳</w:t>
      </w:r>
      <w:r>
        <w:rPr>
          <w:rFonts w:hint="default" w:ascii="Times New Roman" w:hAnsi="Times New Roman" w:eastAsia="方正小标宋简体" w:cs="Times New Roman"/>
          <w:color w:val="333333"/>
          <w:sz w:val="32"/>
          <w:szCs w:val="32"/>
        </w:rPr>
        <w:t>县农业农村局随机</w:t>
      </w:r>
      <w:r>
        <w:rPr>
          <w:rFonts w:hint="default" w:ascii="Times New Roman" w:hAnsi="Times New Roman" w:eastAsia="方正小标宋简体" w:cs="Times New Roman"/>
          <w:color w:val="333333"/>
          <w:sz w:val="32"/>
          <w:szCs w:val="32"/>
          <w:lang w:val="en-US" w:eastAsia="zh-CN"/>
        </w:rPr>
        <w:t>检</w:t>
      </w:r>
      <w:r>
        <w:rPr>
          <w:rFonts w:hint="default" w:ascii="Times New Roman" w:hAnsi="Times New Roman" w:eastAsia="方正小标宋简体" w:cs="Times New Roman"/>
          <w:color w:val="333333"/>
          <w:sz w:val="32"/>
          <w:szCs w:val="32"/>
        </w:rPr>
        <w:t>查事项</w:t>
      </w:r>
      <w:r>
        <w:rPr>
          <w:rFonts w:hint="default" w:ascii="Times New Roman" w:hAnsi="Times New Roman" w:eastAsia="方正小标宋简体" w:cs="Times New Roman"/>
          <w:color w:val="333333"/>
          <w:sz w:val="32"/>
          <w:szCs w:val="32"/>
          <w:lang w:val="en-US" w:eastAsia="zh-CN"/>
        </w:rPr>
        <w:t>计划表</w:t>
      </w:r>
    </w:p>
    <w:tbl>
      <w:tblPr>
        <w:tblStyle w:val="11"/>
        <w:tblpPr w:leftFromText="180" w:rightFromText="180" w:vertAnchor="text" w:horzAnchor="page" w:tblpX="1115" w:tblpY="540"/>
        <w:tblOverlap w:val="never"/>
        <w:tblW w:w="151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660"/>
        <w:gridCol w:w="4378"/>
        <w:gridCol w:w="525"/>
        <w:gridCol w:w="765"/>
        <w:gridCol w:w="3418"/>
        <w:gridCol w:w="413"/>
        <w:gridCol w:w="410"/>
        <w:gridCol w:w="712"/>
        <w:gridCol w:w="2184"/>
        <w:gridCol w:w="10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540" w:type="dxa"/>
            <w:vAlign w:val="center"/>
          </w:tcPr>
          <w:p>
            <w:pPr>
              <w:pStyle w:val="13"/>
              <w:spacing w:before="11"/>
              <w:jc w:val="center"/>
              <w:rPr>
                <w:rFonts w:hint="default" w:ascii="Times New Roman" w:hAnsi="Times New Roman" w:cs="Times New Roman"/>
                <w:sz w:val="23"/>
              </w:rPr>
            </w:pPr>
          </w:p>
          <w:p>
            <w:pPr>
              <w:pStyle w:val="13"/>
              <w:spacing w:line="232" w:lineRule="auto"/>
              <w:ind w:left="179" w:right="163"/>
              <w:jc w:val="center"/>
              <w:rPr>
                <w:rFonts w:hint="default" w:ascii="Times New Roman" w:hAnsi="Times New Roman" w:eastAsia="Microsoft JhengHei" w:cs="Times New Roman"/>
                <w:b/>
                <w:sz w:val="18"/>
              </w:rPr>
            </w:pPr>
            <w:r>
              <w:rPr>
                <w:rFonts w:hint="default" w:ascii="Times New Roman" w:hAnsi="Times New Roman" w:eastAsia="Microsoft JhengHei" w:cs="Times New Roman"/>
                <w:b/>
                <w:sz w:val="18"/>
              </w:rPr>
              <w:t>序号</w:t>
            </w:r>
          </w:p>
        </w:tc>
        <w:tc>
          <w:tcPr>
            <w:tcW w:w="660" w:type="dxa"/>
            <w:vAlign w:val="center"/>
          </w:tcPr>
          <w:p>
            <w:pPr>
              <w:pStyle w:val="13"/>
              <w:spacing w:before="145" w:line="232" w:lineRule="auto"/>
              <w:ind w:left="150" w:right="132"/>
              <w:jc w:val="center"/>
              <w:rPr>
                <w:rFonts w:hint="default" w:ascii="Times New Roman" w:hAnsi="Times New Roman" w:eastAsia="Microsoft JhengHei" w:cs="Times New Roman"/>
                <w:b/>
                <w:sz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lang w:val="en-US" w:eastAsia="zh-CN"/>
              </w:rPr>
              <w:t>检</w:t>
            </w:r>
            <w:r>
              <w:rPr>
                <w:rFonts w:hint="default" w:ascii="Times New Roman" w:hAnsi="Times New Roman" w:eastAsia="Microsoft JhengHei" w:cs="Times New Roman"/>
                <w:b/>
                <w:sz w:val="18"/>
              </w:rPr>
              <w:t>查事项名称</w:t>
            </w:r>
          </w:p>
        </w:tc>
        <w:tc>
          <w:tcPr>
            <w:tcW w:w="4378" w:type="dxa"/>
            <w:vAlign w:val="center"/>
          </w:tcPr>
          <w:p>
            <w:pPr>
              <w:pStyle w:val="13"/>
              <w:spacing w:before="11"/>
              <w:jc w:val="center"/>
              <w:rPr>
                <w:rFonts w:hint="default" w:ascii="Times New Roman" w:hAnsi="Times New Roman" w:cs="Times New Roman"/>
                <w:sz w:val="15"/>
              </w:rPr>
            </w:pPr>
          </w:p>
          <w:p>
            <w:pPr>
              <w:pStyle w:val="13"/>
              <w:ind w:left="1811" w:right="1793"/>
              <w:jc w:val="center"/>
              <w:rPr>
                <w:rFonts w:hint="default" w:ascii="Times New Roman" w:hAnsi="Times New Roman" w:eastAsia="Microsoft JhengHei" w:cs="Times New Roman"/>
                <w:b/>
                <w:sz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lang w:val="en-US" w:eastAsia="zh-CN"/>
              </w:rPr>
              <w:t>检</w:t>
            </w:r>
            <w:r>
              <w:rPr>
                <w:rFonts w:hint="default" w:ascii="Times New Roman" w:hAnsi="Times New Roman" w:eastAsia="Microsoft JhengHei" w:cs="Times New Roman"/>
                <w:b/>
                <w:sz w:val="18"/>
              </w:rPr>
              <w:t>查依据</w:t>
            </w:r>
          </w:p>
        </w:tc>
        <w:tc>
          <w:tcPr>
            <w:tcW w:w="525" w:type="dxa"/>
            <w:vAlign w:val="center"/>
          </w:tcPr>
          <w:p>
            <w:pPr>
              <w:pStyle w:val="13"/>
              <w:spacing w:before="2" w:line="232" w:lineRule="auto"/>
              <w:ind w:right="155"/>
              <w:jc w:val="center"/>
              <w:rPr>
                <w:rFonts w:hint="eastAsia" w:ascii="Times New Roman" w:hAnsi="Times New Roman" w:eastAsia="宋体" w:cs="Times New Roman"/>
                <w:b/>
                <w:sz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lang w:eastAsia="zh-CN"/>
              </w:rPr>
              <w:t>检查主体</w:t>
            </w:r>
          </w:p>
        </w:tc>
        <w:tc>
          <w:tcPr>
            <w:tcW w:w="765" w:type="dxa"/>
            <w:vAlign w:val="center"/>
          </w:tcPr>
          <w:p>
            <w:pPr>
              <w:pStyle w:val="13"/>
              <w:spacing w:line="232" w:lineRule="auto"/>
              <w:ind w:right="148"/>
              <w:jc w:val="center"/>
              <w:rPr>
                <w:rFonts w:hint="eastAsia" w:ascii="Times New Roman" w:hAnsi="Times New Roman" w:cs="Times New Roman"/>
                <w:b/>
                <w:sz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lang w:eastAsia="zh-CN"/>
              </w:rPr>
              <w:t>检查</w:t>
            </w:r>
          </w:p>
          <w:p>
            <w:pPr>
              <w:pStyle w:val="13"/>
              <w:spacing w:line="232" w:lineRule="auto"/>
              <w:ind w:right="148"/>
              <w:jc w:val="center"/>
              <w:rPr>
                <w:rFonts w:hint="eastAsia" w:ascii="Times New Roman" w:hAnsi="Times New Roman" w:eastAsia="宋体" w:cs="Times New Roman"/>
                <w:b/>
                <w:sz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lang w:eastAsia="zh-CN"/>
              </w:rPr>
              <w:t>范围</w:t>
            </w:r>
          </w:p>
        </w:tc>
        <w:tc>
          <w:tcPr>
            <w:tcW w:w="3418" w:type="dxa"/>
            <w:vAlign w:val="center"/>
          </w:tcPr>
          <w:p>
            <w:pPr>
              <w:pStyle w:val="13"/>
              <w:spacing w:before="11"/>
              <w:jc w:val="center"/>
              <w:rPr>
                <w:rFonts w:hint="default" w:ascii="Times New Roman" w:hAnsi="Times New Roman" w:cs="Times New Roman"/>
                <w:sz w:val="15"/>
              </w:rPr>
            </w:pPr>
          </w:p>
          <w:p>
            <w:pPr>
              <w:pStyle w:val="13"/>
              <w:ind w:left="1274" w:right="1259"/>
              <w:jc w:val="center"/>
              <w:rPr>
                <w:rFonts w:hint="default" w:ascii="Times New Roman" w:hAnsi="Times New Roman" w:eastAsia="Microsoft JhengHei" w:cs="Times New Roman"/>
                <w:b/>
                <w:sz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lang w:val="en-US" w:eastAsia="zh-CN"/>
              </w:rPr>
              <w:t>检</w:t>
            </w:r>
            <w:r>
              <w:rPr>
                <w:rFonts w:hint="default" w:ascii="Times New Roman" w:hAnsi="Times New Roman" w:eastAsia="Microsoft JhengHei" w:cs="Times New Roman"/>
                <w:b/>
                <w:sz w:val="18"/>
              </w:rPr>
              <w:t>查标准</w:t>
            </w:r>
          </w:p>
        </w:tc>
        <w:tc>
          <w:tcPr>
            <w:tcW w:w="413" w:type="dxa"/>
            <w:vAlign w:val="center"/>
          </w:tcPr>
          <w:p>
            <w:pPr>
              <w:pStyle w:val="13"/>
              <w:spacing w:line="304" w:lineRule="exact"/>
              <w:ind w:left="187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lang w:val="en-US" w:eastAsia="zh-CN"/>
              </w:rPr>
              <w:t>检</w:t>
            </w:r>
          </w:p>
          <w:p>
            <w:pPr>
              <w:pStyle w:val="13"/>
              <w:spacing w:before="2" w:line="232" w:lineRule="auto"/>
              <w:ind w:left="187" w:right="170"/>
              <w:jc w:val="center"/>
              <w:rPr>
                <w:rFonts w:hint="default" w:ascii="Times New Roman" w:hAnsi="Times New Roman" w:eastAsia="Microsoft JhengHei" w:cs="Times New Roman"/>
                <w:b/>
                <w:sz w:val="18"/>
              </w:rPr>
            </w:pPr>
            <w:r>
              <w:rPr>
                <w:rFonts w:hint="default" w:ascii="Times New Roman" w:hAnsi="Times New Roman" w:eastAsia="Microsoft JhengHei" w:cs="Times New Roman"/>
                <w:b/>
                <w:sz w:val="18"/>
              </w:rPr>
              <w:t>查比</w:t>
            </w:r>
          </w:p>
          <w:p>
            <w:pPr>
              <w:pStyle w:val="13"/>
              <w:spacing w:line="315" w:lineRule="exact"/>
              <w:ind w:left="187"/>
              <w:jc w:val="center"/>
              <w:rPr>
                <w:rFonts w:hint="default" w:ascii="Times New Roman" w:hAnsi="Times New Roman" w:eastAsia="Microsoft JhengHei" w:cs="Times New Roman"/>
                <w:b/>
                <w:sz w:val="18"/>
              </w:rPr>
            </w:pPr>
            <w:r>
              <w:rPr>
                <w:rFonts w:hint="default" w:ascii="Times New Roman" w:hAnsi="Times New Roman" w:eastAsia="Microsoft JhengHei" w:cs="Times New Roman"/>
                <w:b/>
                <w:sz w:val="18"/>
              </w:rPr>
              <w:t>例</w:t>
            </w:r>
          </w:p>
        </w:tc>
        <w:tc>
          <w:tcPr>
            <w:tcW w:w="410" w:type="dxa"/>
            <w:vAlign w:val="center"/>
          </w:tcPr>
          <w:p>
            <w:pPr>
              <w:pStyle w:val="13"/>
              <w:spacing w:line="232" w:lineRule="auto"/>
              <w:ind w:left="112" w:right="95"/>
              <w:jc w:val="center"/>
              <w:rPr>
                <w:rFonts w:hint="default" w:ascii="Times New Roman" w:hAnsi="Times New Roman" w:eastAsia="Microsoft JhengHei" w:cs="Times New Roman"/>
                <w:b/>
                <w:sz w:val="18"/>
              </w:rPr>
            </w:pPr>
            <w:r>
              <w:rPr>
                <w:rFonts w:hint="default" w:ascii="Times New Roman" w:hAnsi="Times New Roman" w:eastAsia="Microsoft JhengHei" w:cs="Times New Roman"/>
                <w:b/>
                <w:sz w:val="18"/>
              </w:rPr>
              <w:t>抽查频率</w:t>
            </w:r>
          </w:p>
        </w:tc>
        <w:tc>
          <w:tcPr>
            <w:tcW w:w="712" w:type="dxa"/>
            <w:vAlign w:val="center"/>
          </w:tcPr>
          <w:p>
            <w:pPr>
              <w:pStyle w:val="13"/>
              <w:spacing w:before="2" w:line="232" w:lineRule="auto"/>
              <w:ind w:left="108" w:right="90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lang w:val="en-US" w:eastAsia="zh-CN"/>
              </w:rPr>
              <w:t>检</w:t>
            </w:r>
            <w:r>
              <w:rPr>
                <w:rFonts w:hint="default" w:ascii="Times New Roman" w:hAnsi="Times New Roman" w:eastAsia="Microsoft JhengHei" w:cs="Times New Roman"/>
                <w:b/>
                <w:sz w:val="18"/>
              </w:rPr>
              <w:t>查方式</w:t>
            </w:r>
          </w:p>
        </w:tc>
        <w:tc>
          <w:tcPr>
            <w:tcW w:w="2184" w:type="dxa"/>
            <w:vAlign w:val="center"/>
          </w:tcPr>
          <w:p>
            <w:pPr>
              <w:pStyle w:val="13"/>
              <w:spacing w:before="11"/>
              <w:jc w:val="center"/>
              <w:rPr>
                <w:rFonts w:hint="default" w:ascii="Times New Roman" w:hAnsi="Times New Roman" w:cs="Times New Roman"/>
                <w:b/>
                <w:sz w:val="18"/>
                <w:lang w:val="en-US" w:eastAsia="zh-CN"/>
              </w:rPr>
            </w:pPr>
          </w:p>
          <w:p>
            <w:pPr>
              <w:pStyle w:val="13"/>
              <w:spacing w:before="11"/>
              <w:jc w:val="center"/>
              <w:rPr>
                <w:rFonts w:hint="eastAsia" w:ascii="Times New Roman" w:hAnsi="Times New Roman" w:eastAsia="宋体" w:cs="Times New Roman"/>
                <w:sz w:val="15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lang w:val="en-US" w:eastAsia="zh-CN"/>
              </w:rPr>
              <w:t>检</w:t>
            </w:r>
            <w:r>
              <w:rPr>
                <w:rFonts w:hint="default" w:ascii="Times New Roman" w:hAnsi="Times New Roman" w:eastAsia="Microsoft JhengHei" w:cs="Times New Roman"/>
                <w:b/>
                <w:sz w:val="18"/>
              </w:rPr>
              <w:t>查</w:t>
            </w:r>
            <w:r>
              <w:rPr>
                <w:rFonts w:hint="eastAsia" w:ascii="Times New Roman" w:hAnsi="Times New Roman" w:cs="Times New Roman"/>
                <w:b/>
                <w:sz w:val="18"/>
                <w:lang w:eastAsia="zh-CN"/>
              </w:rPr>
              <w:t>内容</w:t>
            </w:r>
          </w:p>
          <w:p>
            <w:pPr>
              <w:pStyle w:val="13"/>
              <w:ind w:left="989" w:right="974"/>
              <w:jc w:val="center"/>
              <w:rPr>
                <w:rFonts w:hint="default" w:ascii="Times New Roman" w:hAnsi="Times New Roman" w:eastAsia="Microsoft JhengHei" w:cs="Times New Roman"/>
                <w:b/>
                <w:sz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13"/>
              <w:spacing w:before="11"/>
              <w:jc w:val="center"/>
              <w:rPr>
                <w:rFonts w:hint="default" w:ascii="Times New Roman" w:hAnsi="Times New Roman" w:cs="Times New Roman"/>
                <w:sz w:val="15"/>
              </w:rPr>
            </w:pPr>
          </w:p>
          <w:p>
            <w:pPr>
              <w:pStyle w:val="13"/>
              <w:ind w:left="373" w:right="357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lang w:val="en-US" w:eastAsia="zh-CN"/>
              </w:rPr>
              <w:t>配合单位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7" w:hRule="atLeast"/>
        </w:trPr>
        <w:tc>
          <w:tcPr>
            <w:tcW w:w="540" w:type="dxa"/>
          </w:tcPr>
          <w:p>
            <w:pPr>
              <w:pStyle w:val="13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13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13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13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13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13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13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13"/>
              <w:spacing w:before="6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13"/>
              <w:ind w:left="159" w:right="145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pStyle w:val="13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13"/>
              <w:spacing w:before="135" w:line="333" w:lineRule="auto"/>
              <w:ind w:left="107" w:right="175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农业机械安全监督检查</w:t>
            </w:r>
          </w:p>
        </w:tc>
        <w:tc>
          <w:tcPr>
            <w:tcW w:w="4378" w:type="dxa"/>
          </w:tcPr>
          <w:p>
            <w:pPr>
              <w:pStyle w:val="13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13"/>
              <w:spacing w:before="159" w:line="333" w:lineRule="auto"/>
              <w:ind w:left="107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1"/>
                <w:szCs w:val="21"/>
              </w:rPr>
              <w:t>《中华人民共和国农业机械监督管理条例》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（2009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1"/>
                <w:szCs w:val="21"/>
              </w:rPr>
              <w:t xml:space="preserve"> 年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pacing w:val="-51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25"/>
                <w:sz w:val="21"/>
                <w:szCs w:val="21"/>
              </w:rPr>
              <w:t xml:space="preserve">月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pacing w:val="-15"/>
                <w:sz w:val="21"/>
                <w:szCs w:val="21"/>
              </w:rPr>
              <w:t xml:space="preserve"> 日国务院第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80</w:t>
            </w:r>
            <w:r>
              <w:rPr>
                <w:rFonts w:hint="default" w:ascii="Times New Roman" w:hAnsi="Times New Roman" w:eastAsia="仿宋_GB2312" w:cs="Times New Roman"/>
                <w:spacing w:val="-8"/>
                <w:sz w:val="21"/>
                <w:szCs w:val="21"/>
              </w:rPr>
              <w:t xml:space="preserve"> 次常务会议通过</w:t>
            </w:r>
            <w:r>
              <w:rPr>
                <w:rFonts w:hint="default" w:ascii="Times New Roman" w:hAnsi="Times New Roman" w:eastAsia="仿宋_GB2312" w:cs="Times New Roman"/>
                <w:spacing w:val="-89"/>
                <w:sz w:val="21"/>
                <w:szCs w:val="21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-2"/>
                <w:sz w:val="21"/>
                <w:szCs w:val="21"/>
              </w:rPr>
              <w:t xml:space="preserve">第九条第二款：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县级以上地方人民政府农业机械化主管部门、工业主管部门和县级以上地方质量监督部门、工商行政管理部门等有关部门按照各自职责，负责本行政区域的农业机械安全监督管理工作。第四十二条：农业机械安全监督管理执法人员进行安全监督检查时，应当佩戴统一标志，出示行政执法证件。农业机械安全监督检查、事故勘察车辆应当在车身喷涂统一标识。</w:t>
            </w:r>
          </w:p>
        </w:tc>
        <w:tc>
          <w:tcPr>
            <w:tcW w:w="525" w:type="dxa"/>
          </w:tcPr>
          <w:p>
            <w:pPr>
              <w:pStyle w:val="13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13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13"/>
              <w:spacing w:before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13"/>
              <w:spacing w:line="333" w:lineRule="auto"/>
              <w:ind w:left="107" w:right="22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彭阳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县农业农村局</w:t>
            </w:r>
          </w:p>
        </w:tc>
        <w:tc>
          <w:tcPr>
            <w:tcW w:w="765" w:type="dxa"/>
          </w:tcPr>
          <w:p>
            <w:pPr>
              <w:pStyle w:val="13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13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13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13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13"/>
              <w:spacing w:before="8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13"/>
              <w:spacing w:before="1" w:line="333" w:lineRule="auto"/>
              <w:ind w:left="107" w:right="9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1"/>
                <w:szCs w:val="21"/>
              </w:rPr>
              <w:t>生产、销售、维修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等农业机械企业</w:t>
            </w:r>
          </w:p>
        </w:tc>
        <w:tc>
          <w:tcPr>
            <w:tcW w:w="3418" w:type="dxa"/>
          </w:tcPr>
          <w:p>
            <w:pPr>
              <w:pStyle w:val="13"/>
              <w:spacing w:before="47"/>
              <w:ind w:left="107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根据《农业机械安全监督管理条例》、</w:t>
            </w:r>
          </w:p>
          <w:p>
            <w:pPr>
              <w:pStyle w:val="13"/>
              <w:spacing w:before="88" w:line="333" w:lineRule="auto"/>
              <w:ind w:left="107" w:right="1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宁夏回族自治区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农业机械管理条例》、《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宁夏回族自治区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农业机械安全监督管理条例》、《拖拉机登记规定》、《拖拉机驾驶培训管理办法》、《联合收割机及驾驶人安全监理规定》等规定：查验拖拉机、联合收割机证书、牌照及有关操作证件；检查危及人身财产安全的农业机械的安全</w:t>
            </w:r>
            <w:r>
              <w:rPr>
                <w:rFonts w:hint="default" w:ascii="Times New Roman" w:hAnsi="Times New Roman" w:eastAsia="仿宋_GB2312" w:cs="Times New Roman"/>
                <w:spacing w:val="-9"/>
                <w:sz w:val="21"/>
                <w:szCs w:val="21"/>
              </w:rPr>
              <w:t xml:space="preserve">状况，对存在重大事故隐患的农业机械，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责令当事人立即停止作业或者停止农业机械的转移，并进行维修；农业机械操作人员改正违规操作行为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413" w:type="dxa"/>
          </w:tcPr>
          <w:p>
            <w:pPr>
              <w:pStyle w:val="13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13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13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13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13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13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13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13"/>
              <w:spacing w:before="6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13"/>
              <w:ind w:left="137" w:right="123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%</w:t>
            </w:r>
          </w:p>
        </w:tc>
        <w:tc>
          <w:tcPr>
            <w:tcW w:w="410" w:type="dxa"/>
          </w:tcPr>
          <w:p>
            <w:pPr>
              <w:pStyle w:val="13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13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13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13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13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13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13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13"/>
              <w:spacing w:before="5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13"/>
              <w:spacing w:line="333" w:lineRule="auto"/>
              <w:ind w:left="201" w:right="93" w:hanging="92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次/ 年</w:t>
            </w:r>
          </w:p>
        </w:tc>
        <w:tc>
          <w:tcPr>
            <w:tcW w:w="712" w:type="dxa"/>
          </w:tcPr>
          <w:p>
            <w:pPr>
              <w:pStyle w:val="13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13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13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13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13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13"/>
              <w:spacing w:before="8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13"/>
              <w:spacing w:line="333" w:lineRule="auto"/>
              <w:ind w:left="108" w:right="9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现场检查</w:t>
            </w:r>
          </w:p>
          <w:p>
            <w:pPr>
              <w:pStyle w:val="13"/>
              <w:spacing w:line="333" w:lineRule="auto"/>
              <w:ind w:left="108" w:right="9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184" w:type="dxa"/>
          </w:tcPr>
          <w:p>
            <w:pPr>
              <w:pStyle w:val="13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13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246"/>
              </w:tabs>
              <w:spacing w:before="113" w:after="0" w:line="333" w:lineRule="auto"/>
              <w:ind w:left="108" w:right="139" w:firstLine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1"/>
                <w:szCs w:val="21"/>
              </w:rPr>
              <w:t>拖拉机、联合收割机实施安全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检验、登记情况；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246"/>
              </w:tabs>
              <w:spacing w:before="2" w:after="0" w:line="331" w:lineRule="auto"/>
              <w:ind w:left="108" w:right="139" w:firstLine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1"/>
                <w:szCs w:val="21"/>
              </w:rPr>
              <w:t>拖拉机、联合收割机操作证件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执行情况；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246"/>
              </w:tabs>
              <w:spacing w:before="4" w:after="0" w:line="333" w:lineRule="auto"/>
              <w:ind w:left="108" w:right="139" w:firstLine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1"/>
                <w:szCs w:val="21"/>
              </w:rPr>
              <w:t>农业机械维修技术合格证书执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行情况；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246"/>
              </w:tabs>
              <w:spacing w:before="2" w:after="0" w:line="240" w:lineRule="auto"/>
              <w:ind w:left="245" w:right="0" w:hanging="138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农业机械生产、销售等情况；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246"/>
              </w:tabs>
              <w:spacing w:before="89" w:after="0" w:line="333" w:lineRule="auto"/>
              <w:ind w:left="108" w:right="139" w:firstLine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1"/>
                <w:szCs w:val="21"/>
              </w:rPr>
              <w:t>生产、销售农业机械的质量情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况等。</w:t>
            </w:r>
          </w:p>
        </w:tc>
        <w:tc>
          <w:tcPr>
            <w:tcW w:w="1095" w:type="dxa"/>
          </w:tcPr>
          <w:p>
            <w:pPr>
              <w:pStyle w:val="13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13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  <w:p>
            <w:pPr>
              <w:pStyle w:val="13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  <w:p>
            <w:pPr>
              <w:pStyle w:val="13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  <w:p>
            <w:pPr>
              <w:pStyle w:val="13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  <w:p>
            <w:pPr>
              <w:pStyle w:val="13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彭阳县农业综合行政执法大队、彭阳县农业机械化服务中心</w:t>
            </w:r>
          </w:p>
        </w:tc>
      </w:tr>
    </w:tbl>
    <w:p>
      <w:pPr>
        <w:spacing w:line="600" w:lineRule="exact"/>
        <w:rPr>
          <w:rFonts w:hint="default" w:ascii="Times New Roman" w:hAnsi="Times New Roman" w:eastAsia="仿宋_GB2312" w:cs="Times New Roman"/>
          <w:sz w:val="21"/>
          <w:szCs w:val="21"/>
        </w:rPr>
      </w:pPr>
    </w:p>
    <w:sectPr>
      <w:headerReference r:id="rId3" w:type="default"/>
      <w:footerReference r:id="rId4" w:type="default"/>
      <w:footerReference r:id="rId5" w:type="even"/>
      <w:pgSz w:w="16840" w:h="11911" w:orient="landscape"/>
      <w:pgMar w:top="2154" w:right="1474" w:bottom="1984" w:left="1587" w:header="0" w:footer="890" w:gutter="0"/>
      <w:pgNumType w:fmt="numberInDash" w:start="40"/>
      <w:cols w:space="425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- 1 -</w:t>
    </w:r>
    <w:r>
      <w:rPr>
        <w:rStyle w:val="10"/>
      </w:rPr>
      <w:fldChar w:fldCharType="end"/>
    </w:r>
  </w:p>
  <w:p>
    <w:pPr>
      <w:pStyle w:val="6"/>
      <w:framePr w:w="0" w:wrap="around" w:vAnchor="text" w:hAnchor="margin" w:xAlign="center" w:y="1"/>
      <w:ind w:right="360" w:firstLine="360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  <w:vanish/>
      </w:rPr>
      <w:t xml:space="preserve"> </w:t>
    </w:r>
    <w:r>
      <w:rPr>
        <w:rStyle w:val="10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108" w:hanging="138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62" w:hanging="13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4" w:hanging="13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87" w:hanging="13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49" w:hanging="13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12" w:hanging="13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74" w:hanging="13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36" w:hanging="13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99" w:hanging="138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210"/>
  <w:drawingGridVerticalSpacing w:val="99999990"/>
  <w:displayHorizontalDrawingGridEvery w:val="1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1E25D28"/>
    <w:rsid w:val="129E20AD"/>
    <w:rsid w:val="12F37247"/>
    <w:rsid w:val="1E727E4E"/>
    <w:rsid w:val="2317185E"/>
    <w:rsid w:val="295B618D"/>
    <w:rsid w:val="2D8A181A"/>
    <w:rsid w:val="2E731FF4"/>
    <w:rsid w:val="2EF32CF0"/>
    <w:rsid w:val="3B8E6CA7"/>
    <w:rsid w:val="419204AE"/>
    <w:rsid w:val="42EC043D"/>
    <w:rsid w:val="51A46B67"/>
    <w:rsid w:val="53C512C1"/>
    <w:rsid w:val="5E0029D5"/>
    <w:rsid w:val="623B71C0"/>
    <w:rsid w:val="6FE050BB"/>
    <w:rsid w:val="70532DB0"/>
    <w:rsid w:val="752401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spacing w:before="5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6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7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8">
    <w:name w:val="Normal (Web)"/>
    <w:basedOn w:val="1"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10">
    <w:name w:val="page number"/>
    <w:qFormat/>
    <w:uiPriority w:val="0"/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user</Company>
  <Pages>1</Pages>
  <Words>1</Words>
  <Characters>1</Characters>
  <Lines>1</Lines>
  <Paragraphs>0</Paragraphs>
  <TotalTime>7</TotalTime>
  <ScaleCrop>false</ScaleCrop>
  <LinksUpToDate>false</LinksUpToDate>
  <CharactersWithSpaces>1</CharactersWithSpaces>
  <Application>WPS Office_10.8.2.6837_F1E327BC-269C-435d-A152-05C5408002CA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2020-02-19T01:33:00Z</dcterms:created>
  <dc:creator>user</dc:creator>
  <cp:lastModifiedBy>彭阳县农业农村局收文员</cp:lastModifiedBy>
  <cp:lastPrinted>2020-03-20T02:48:00Z</cp:lastPrinted>
  <dcterms:modified xsi:type="dcterms:W3CDTF">2021-03-03T02:56:28Z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