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eastAsia="zh-CN"/>
        </w:rPr>
      </w:pPr>
      <w:bookmarkStart w:id="0" w:name="_GoBack"/>
      <w:r>
        <w:rPr>
          <w:rFonts w:hint="eastAsia" w:ascii="方正小标宋简体" w:hAnsi="方正小标宋简体" w:eastAsia="方正小标宋简体" w:cs="方正小标宋简体"/>
          <w:sz w:val="44"/>
          <w:szCs w:val="44"/>
          <w:lang w:eastAsia="zh-CN"/>
        </w:rPr>
        <w:t>彭阳县城乡居民产业就业收入双增计划落实台账</w:t>
      </w:r>
    </w:p>
    <w:bookmarkEnd w:id="0"/>
    <w:tbl>
      <w:tblPr>
        <w:tblStyle w:val="10"/>
        <w:tblW w:w="15396" w:type="dxa"/>
        <w:tblInd w:w="-7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
        <w:gridCol w:w="1393"/>
        <w:gridCol w:w="3846"/>
        <w:gridCol w:w="1339"/>
        <w:gridCol w:w="1361"/>
        <w:gridCol w:w="5700"/>
        <w:gridCol w:w="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868" w:type="dxa"/>
            <w:vAlign w:val="center"/>
          </w:tcPr>
          <w:p>
            <w:pPr>
              <w:jc w:val="center"/>
              <w:rPr>
                <w:rFonts w:hint="default" w:ascii="Times New Roman" w:hAnsi="Times New Roman" w:eastAsia="黑体" w:cs="Times New Roman"/>
                <w:sz w:val="28"/>
                <w:szCs w:val="28"/>
                <w:vertAlign w:val="baseline"/>
                <w:lang w:eastAsia="zh-CN"/>
              </w:rPr>
            </w:pPr>
            <w:r>
              <w:rPr>
                <w:rFonts w:hint="default" w:ascii="Times New Roman" w:hAnsi="Times New Roman" w:eastAsia="黑体" w:cs="Times New Roman"/>
                <w:sz w:val="28"/>
                <w:szCs w:val="28"/>
                <w:vertAlign w:val="baseline"/>
                <w:lang w:eastAsia="zh-CN"/>
              </w:rPr>
              <w:t>序号</w:t>
            </w:r>
          </w:p>
        </w:tc>
        <w:tc>
          <w:tcPr>
            <w:tcW w:w="1393" w:type="dxa"/>
            <w:vAlign w:val="center"/>
          </w:tcPr>
          <w:p>
            <w:pPr>
              <w:jc w:val="center"/>
              <w:rPr>
                <w:rFonts w:hint="default" w:ascii="Times New Roman" w:hAnsi="Times New Roman" w:eastAsia="黑体" w:cs="Times New Roman"/>
                <w:sz w:val="28"/>
                <w:szCs w:val="28"/>
                <w:vertAlign w:val="baseline"/>
                <w:lang w:eastAsia="zh-CN"/>
              </w:rPr>
            </w:pPr>
            <w:r>
              <w:rPr>
                <w:rFonts w:hint="default" w:ascii="Times New Roman" w:hAnsi="Times New Roman" w:eastAsia="黑体" w:cs="Times New Roman"/>
                <w:sz w:val="28"/>
                <w:szCs w:val="28"/>
                <w:vertAlign w:val="baseline"/>
                <w:lang w:eastAsia="zh-CN"/>
              </w:rPr>
              <w:t>主要任务</w:t>
            </w:r>
          </w:p>
        </w:tc>
        <w:tc>
          <w:tcPr>
            <w:tcW w:w="3846" w:type="dxa"/>
            <w:vAlign w:val="center"/>
          </w:tcPr>
          <w:p>
            <w:pPr>
              <w:jc w:val="center"/>
              <w:rPr>
                <w:rFonts w:hint="default" w:ascii="Times New Roman" w:hAnsi="Times New Roman" w:eastAsia="黑体" w:cs="Times New Roman"/>
                <w:sz w:val="28"/>
                <w:szCs w:val="28"/>
                <w:vertAlign w:val="baseline"/>
                <w:lang w:eastAsia="zh-CN"/>
              </w:rPr>
            </w:pPr>
            <w:r>
              <w:rPr>
                <w:rFonts w:hint="default" w:ascii="Times New Roman" w:hAnsi="Times New Roman" w:eastAsia="黑体" w:cs="Times New Roman"/>
                <w:sz w:val="28"/>
                <w:szCs w:val="28"/>
                <w:vertAlign w:val="baseline"/>
                <w:lang w:eastAsia="zh-CN"/>
              </w:rPr>
              <w:t>具体措施</w:t>
            </w:r>
          </w:p>
        </w:tc>
        <w:tc>
          <w:tcPr>
            <w:tcW w:w="1339" w:type="dxa"/>
            <w:vAlign w:val="center"/>
          </w:tcPr>
          <w:p>
            <w:pPr>
              <w:jc w:val="center"/>
              <w:rPr>
                <w:rFonts w:hint="default" w:ascii="Times New Roman" w:hAnsi="Times New Roman" w:eastAsia="黑体" w:cs="Times New Roman"/>
                <w:sz w:val="28"/>
                <w:szCs w:val="28"/>
                <w:vertAlign w:val="baseline"/>
                <w:lang w:eastAsia="zh-CN"/>
              </w:rPr>
            </w:pPr>
            <w:r>
              <w:rPr>
                <w:rFonts w:hint="default" w:ascii="Times New Roman" w:hAnsi="Times New Roman" w:eastAsia="黑体" w:cs="Times New Roman"/>
                <w:sz w:val="28"/>
                <w:szCs w:val="28"/>
                <w:vertAlign w:val="baseline"/>
                <w:lang w:eastAsia="zh-CN"/>
              </w:rPr>
              <w:t>责任领导</w:t>
            </w:r>
          </w:p>
        </w:tc>
        <w:tc>
          <w:tcPr>
            <w:tcW w:w="1361" w:type="dxa"/>
            <w:vAlign w:val="center"/>
          </w:tcPr>
          <w:p>
            <w:pPr>
              <w:jc w:val="center"/>
              <w:rPr>
                <w:rFonts w:hint="default" w:ascii="Times New Roman" w:hAnsi="Times New Roman" w:eastAsia="黑体" w:cs="Times New Roman"/>
                <w:sz w:val="28"/>
                <w:szCs w:val="28"/>
                <w:vertAlign w:val="baseline"/>
                <w:lang w:eastAsia="zh-CN"/>
              </w:rPr>
            </w:pPr>
            <w:r>
              <w:rPr>
                <w:rFonts w:hint="default" w:ascii="Times New Roman" w:hAnsi="Times New Roman" w:eastAsia="黑体" w:cs="Times New Roman"/>
                <w:sz w:val="28"/>
                <w:szCs w:val="28"/>
                <w:vertAlign w:val="baseline"/>
                <w:lang w:eastAsia="zh-CN"/>
              </w:rPr>
              <w:t>责任单位</w:t>
            </w:r>
          </w:p>
        </w:tc>
        <w:tc>
          <w:tcPr>
            <w:tcW w:w="5700" w:type="dxa"/>
            <w:vAlign w:val="center"/>
          </w:tcPr>
          <w:p>
            <w:pPr>
              <w:jc w:val="center"/>
              <w:rPr>
                <w:rFonts w:hint="default" w:ascii="Times New Roman" w:hAnsi="Times New Roman" w:eastAsia="黑体" w:cs="Times New Roman"/>
                <w:sz w:val="28"/>
                <w:szCs w:val="28"/>
                <w:vertAlign w:val="baseline"/>
                <w:lang w:eastAsia="zh-CN"/>
              </w:rPr>
            </w:pPr>
            <w:r>
              <w:rPr>
                <w:rFonts w:hint="default" w:ascii="Times New Roman" w:hAnsi="Times New Roman" w:eastAsia="黑体" w:cs="Times New Roman"/>
                <w:sz w:val="28"/>
                <w:szCs w:val="28"/>
                <w:vertAlign w:val="baseline"/>
                <w:lang w:eastAsia="zh-CN"/>
              </w:rPr>
              <w:t>落实情况</w:t>
            </w:r>
          </w:p>
        </w:tc>
        <w:tc>
          <w:tcPr>
            <w:tcW w:w="889" w:type="dxa"/>
            <w:vAlign w:val="center"/>
          </w:tcPr>
          <w:p>
            <w:pPr>
              <w:jc w:val="center"/>
              <w:rPr>
                <w:rFonts w:hint="default" w:ascii="Times New Roman" w:hAnsi="Times New Roman" w:eastAsia="黑体" w:cs="Times New Roman"/>
                <w:sz w:val="28"/>
                <w:szCs w:val="28"/>
                <w:vertAlign w:val="baseline"/>
                <w:lang w:eastAsia="zh-CN"/>
              </w:rPr>
            </w:pPr>
            <w:r>
              <w:rPr>
                <w:rFonts w:hint="default" w:ascii="Times New Roman" w:hAnsi="Times New Roman" w:eastAsia="黑体" w:cs="Times New Roman"/>
                <w:sz w:val="28"/>
                <w:szCs w:val="28"/>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1</w:t>
            </w:r>
          </w:p>
        </w:tc>
        <w:tc>
          <w:tcPr>
            <w:tcW w:w="1393"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default" w:ascii="Times New Roman" w:hAnsi="Times New Roman" w:eastAsia="仿宋_GB2312" w:cs="Times New Roman"/>
                <w:sz w:val="22"/>
                <w:szCs w:val="22"/>
                <w:vertAlign w:val="baseline"/>
                <w:lang w:eastAsia="zh-CN"/>
              </w:rPr>
              <w:t>增加就业促增收</w:t>
            </w:r>
          </w:p>
        </w:tc>
        <w:tc>
          <w:tcPr>
            <w:tcW w:w="384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default" w:ascii="Times New Roman" w:hAnsi="Times New Roman" w:eastAsia="仿宋_GB2312" w:cs="Times New Roman"/>
                <w:sz w:val="22"/>
                <w:szCs w:val="22"/>
                <w:vertAlign w:val="baseline"/>
                <w:lang w:eastAsia="zh-CN"/>
              </w:rPr>
            </w:pPr>
            <w:r>
              <w:rPr>
                <w:rFonts w:hint="default" w:ascii="Times New Roman" w:hAnsi="Times New Roman" w:eastAsia="仿宋_GB2312" w:cs="Times New Roman"/>
                <w:sz w:val="22"/>
                <w:szCs w:val="22"/>
                <w:vertAlign w:val="baseline"/>
                <w:lang w:eastAsia="zh-CN"/>
              </w:rPr>
              <w:t>以县内劳务移民为抓手，充分发挥劳动力资源优势，依托劳动密集型企业，着力推进产业就业扩容，力促2021年县内就地就近就业人数稳定在2.4万人以上，工资性收入达到5亿元</w:t>
            </w:r>
            <w:r>
              <w:rPr>
                <w:rFonts w:hint="eastAsia" w:ascii="Times New Roman" w:hAnsi="Times New Roman" w:eastAsia="仿宋_GB2312" w:cs="Times New Roman"/>
                <w:sz w:val="22"/>
                <w:szCs w:val="22"/>
                <w:vertAlign w:val="baseline"/>
                <w:lang w:eastAsia="zh-CN"/>
              </w:rPr>
              <w:t>。</w:t>
            </w:r>
          </w:p>
        </w:tc>
        <w:tc>
          <w:tcPr>
            <w:tcW w:w="133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马  瑾</w:t>
            </w:r>
          </w:p>
        </w:tc>
        <w:tc>
          <w:tcPr>
            <w:tcW w:w="136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人力资源社会保障局</w:t>
            </w:r>
          </w:p>
        </w:tc>
        <w:tc>
          <w:tcPr>
            <w:tcW w:w="57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default" w:ascii="Times New Roman" w:hAnsi="Times New Roman" w:eastAsia="仿宋_GB2312" w:cs="Times New Roman"/>
                <w:sz w:val="22"/>
                <w:szCs w:val="22"/>
                <w:vertAlign w:val="baseline"/>
                <w:lang w:eastAsia="zh-CN"/>
              </w:rPr>
            </w:pPr>
          </w:p>
        </w:tc>
        <w:tc>
          <w:tcPr>
            <w:tcW w:w="88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86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2</w:t>
            </w:r>
          </w:p>
        </w:tc>
        <w:tc>
          <w:tcPr>
            <w:tcW w:w="1393"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p>
        </w:tc>
        <w:tc>
          <w:tcPr>
            <w:tcW w:w="384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Times New Roman"/>
                <w:sz w:val="22"/>
                <w:szCs w:val="22"/>
                <w:vertAlign w:val="baseline"/>
                <w:lang w:eastAsia="zh-CN"/>
              </w:rPr>
              <w:t>完善“点对点、一站式”劳务输出对接机制，扎实组织开展好“春风行动”，做到输出有组织、健康有监测、承运有防护、送达有交接的“四有”模式，2021年转移就业稳定在5.2万人以上，务工收入达到12.5亿元</w:t>
            </w:r>
            <w:r>
              <w:rPr>
                <w:rFonts w:hint="eastAsia" w:ascii="Times New Roman" w:hAnsi="Times New Roman" w:eastAsia="仿宋_GB2312" w:cs="Times New Roman"/>
                <w:sz w:val="22"/>
                <w:szCs w:val="22"/>
                <w:vertAlign w:val="baseline"/>
                <w:lang w:val="en-US" w:eastAsia="zh-CN"/>
              </w:rPr>
              <w:t>.</w:t>
            </w:r>
          </w:p>
        </w:tc>
        <w:tc>
          <w:tcPr>
            <w:tcW w:w="133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马  瑾</w:t>
            </w:r>
          </w:p>
        </w:tc>
        <w:tc>
          <w:tcPr>
            <w:tcW w:w="136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人力资源社会保障局</w:t>
            </w:r>
          </w:p>
        </w:tc>
        <w:tc>
          <w:tcPr>
            <w:tcW w:w="57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default" w:ascii="Times New Roman" w:hAnsi="Times New Roman" w:eastAsia="仿宋_GB2312" w:cs="Times New Roman"/>
                <w:sz w:val="22"/>
                <w:szCs w:val="22"/>
                <w:vertAlign w:val="baseline"/>
                <w:lang w:eastAsia="zh-CN"/>
              </w:rPr>
            </w:pPr>
          </w:p>
        </w:tc>
        <w:tc>
          <w:tcPr>
            <w:tcW w:w="88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0" w:hRule="atLeast"/>
        </w:trPr>
        <w:tc>
          <w:tcPr>
            <w:tcW w:w="86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3</w:t>
            </w:r>
          </w:p>
        </w:tc>
        <w:tc>
          <w:tcPr>
            <w:tcW w:w="1393"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p>
        </w:tc>
        <w:tc>
          <w:tcPr>
            <w:tcW w:w="384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default" w:ascii="Times New Roman" w:hAnsi="Times New Roman" w:eastAsia="仿宋_GB2312" w:cs="Times New Roman"/>
                <w:sz w:val="22"/>
                <w:szCs w:val="22"/>
                <w:vertAlign w:val="baseline"/>
                <w:lang w:eastAsia="zh-CN"/>
              </w:rPr>
            </w:pPr>
            <w:r>
              <w:rPr>
                <w:rFonts w:hint="default" w:ascii="Times New Roman" w:hAnsi="Times New Roman" w:eastAsia="仿宋_GB2312" w:cs="Times New Roman"/>
                <w:sz w:val="22"/>
                <w:szCs w:val="22"/>
                <w:vertAlign w:val="baseline"/>
                <w:lang w:eastAsia="zh-CN"/>
              </w:rPr>
              <w:t>发挥全县扶贫车间、企业用工联农带动作用，适时开展全县零就业家庭“大摸排、大起底”，通过建筑工地临时用工和造林绿化季节性用工等途径，多渠道鼓励移民和低收入家庭就近就地务工，积极引导全县农业产业化示范基地、各类企业在用工时，优先招聘采用当地农民群众，2021年吸纳就地就业人数达到1500人</w:t>
            </w:r>
            <w:r>
              <w:rPr>
                <w:rFonts w:hint="eastAsia" w:ascii="Times New Roman" w:hAnsi="Times New Roman" w:eastAsia="仿宋_GB2312" w:cs="Times New Roman"/>
                <w:sz w:val="22"/>
                <w:szCs w:val="22"/>
                <w:vertAlign w:val="baseline"/>
                <w:lang w:eastAsia="zh-CN"/>
              </w:rPr>
              <w:t>。</w:t>
            </w:r>
          </w:p>
        </w:tc>
        <w:tc>
          <w:tcPr>
            <w:tcW w:w="133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马  瑾</w:t>
            </w:r>
          </w:p>
        </w:tc>
        <w:tc>
          <w:tcPr>
            <w:tcW w:w="136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人力资源社会保障局</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乡村振兴局</w:t>
            </w:r>
          </w:p>
        </w:tc>
        <w:tc>
          <w:tcPr>
            <w:tcW w:w="57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default" w:ascii="Times New Roman" w:hAnsi="Times New Roman" w:eastAsia="仿宋_GB2312" w:cs="Times New Roman"/>
                <w:sz w:val="22"/>
                <w:szCs w:val="22"/>
                <w:vertAlign w:val="baseline"/>
                <w:lang w:eastAsia="zh-CN"/>
              </w:rPr>
            </w:pPr>
          </w:p>
        </w:tc>
        <w:tc>
          <w:tcPr>
            <w:tcW w:w="88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2" w:hRule="atLeast"/>
        </w:trPr>
        <w:tc>
          <w:tcPr>
            <w:tcW w:w="86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8"/>
                <w:szCs w:val="28"/>
                <w:vertAlign w:val="baseline"/>
                <w:lang w:val="en-US" w:eastAsia="zh-CN"/>
              </w:rPr>
            </w:pPr>
            <w:r>
              <w:rPr>
                <w:rFonts w:hint="eastAsia" w:ascii="Times New Roman" w:hAnsi="Times New Roman" w:eastAsia="仿宋_GB2312" w:cs="Times New Roman"/>
                <w:sz w:val="28"/>
                <w:szCs w:val="28"/>
                <w:vertAlign w:val="baseline"/>
                <w:lang w:val="en-US" w:eastAsia="zh-CN"/>
              </w:rPr>
              <w:t>4</w:t>
            </w:r>
          </w:p>
        </w:tc>
        <w:tc>
          <w:tcPr>
            <w:tcW w:w="1393"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default" w:ascii="Times New Roman" w:hAnsi="Times New Roman" w:eastAsia="仿宋_GB2312" w:cs="Times New Roman"/>
                <w:sz w:val="22"/>
                <w:szCs w:val="22"/>
                <w:vertAlign w:val="baseline"/>
                <w:lang w:eastAsia="zh-CN"/>
              </w:rPr>
              <w:t>增加就业促增收</w:t>
            </w:r>
          </w:p>
        </w:tc>
        <w:tc>
          <w:tcPr>
            <w:tcW w:w="384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default" w:ascii="Times New Roman" w:hAnsi="Times New Roman" w:eastAsia="仿宋_GB2312" w:cs="Times New Roman"/>
                <w:sz w:val="22"/>
                <w:szCs w:val="22"/>
                <w:vertAlign w:val="baseline"/>
                <w:lang w:eastAsia="zh-CN"/>
              </w:rPr>
            </w:pPr>
            <w:r>
              <w:rPr>
                <w:rFonts w:hint="default" w:ascii="Times New Roman" w:hAnsi="Times New Roman" w:eastAsia="仿宋_GB2312" w:cs="Times New Roman"/>
                <w:sz w:val="22"/>
                <w:szCs w:val="22"/>
                <w:vertAlign w:val="baseline"/>
                <w:lang w:eastAsia="zh-CN"/>
              </w:rPr>
              <w:t>继续加大政府购买服务力度，2021年购买乡村护路员、生态护林员、保洁员等公益性岗位1500个</w:t>
            </w:r>
            <w:r>
              <w:rPr>
                <w:rFonts w:hint="eastAsia" w:ascii="Times New Roman" w:hAnsi="Times New Roman" w:eastAsia="仿宋_GB2312" w:cs="Times New Roman"/>
                <w:sz w:val="22"/>
                <w:szCs w:val="22"/>
                <w:vertAlign w:val="baseline"/>
                <w:lang w:eastAsia="zh-CN"/>
              </w:rPr>
              <w:t>。</w:t>
            </w:r>
          </w:p>
        </w:tc>
        <w:tc>
          <w:tcPr>
            <w:tcW w:w="133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马  瑾</w:t>
            </w:r>
          </w:p>
        </w:tc>
        <w:tc>
          <w:tcPr>
            <w:tcW w:w="136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人力资源社会保障局</w:t>
            </w:r>
          </w:p>
        </w:tc>
        <w:tc>
          <w:tcPr>
            <w:tcW w:w="57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default" w:ascii="Times New Roman" w:hAnsi="Times New Roman" w:eastAsia="仿宋_GB2312" w:cs="Times New Roman"/>
                <w:sz w:val="22"/>
                <w:szCs w:val="22"/>
                <w:vertAlign w:val="baseline"/>
                <w:lang w:eastAsia="zh-CN"/>
              </w:rPr>
            </w:pPr>
          </w:p>
        </w:tc>
        <w:tc>
          <w:tcPr>
            <w:tcW w:w="88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9" w:hRule="atLeast"/>
        </w:trPr>
        <w:tc>
          <w:tcPr>
            <w:tcW w:w="86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8"/>
                <w:szCs w:val="28"/>
                <w:vertAlign w:val="baseline"/>
                <w:lang w:val="en-US" w:eastAsia="zh-CN"/>
              </w:rPr>
            </w:pPr>
            <w:r>
              <w:rPr>
                <w:rFonts w:hint="eastAsia" w:ascii="Times New Roman" w:hAnsi="Times New Roman" w:eastAsia="仿宋_GB2312" w:cs="Times New Roman"/>
                <w:sz w:val="28"/>
                <w:szCs w:val="28"/>
                <w:vertAlign w:val="baseline"/>
                <w:lang w:val="en-US" w:eastAsia="zh-CN"/>
              </w:rPr>
              <w:t>5</w:t>
            </w:r>
          </w:p>
        </w:tc>
        <w:tc>
          <w:tcPr>
            <w:tcW w:w="1393"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default" w:ascii="Times New Roman" w:hAnsi="Times New Roman" w:eastAsia="仿宋_GB2312" w:cs="Times New Roman"/>
                <w:sz w:val="22"/>
                <w:szCs w:val="22"/>
                <w:vertAlign w:val="baseline"/>
                <w:lang w:eastAsia="zh-CN"/>
              </w:rPr>
              <w:t>创业增岗促增收</w:t>
            </w:r>
          </w:p>
        </w:tc>
        <w:tc>
          <w:tcPr>
            <w:tcW w:w="384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default" w:ascii="Times New Roman" w:hAnsi="Times New Roman" w:eastAsia="仿宋_GB2312" w:cs="Times New Roman"/>
                <w:sz w:val="22"/>
                <w:szCs w:val="22"/>
                <w:vertAlign w:val="baseline"/>
                <w:lang w:eastAsia="zh-CN"/>
              </w:rPr>
            </w:pPr>
            <w:r>
              <w:rPr>
                <w:rFonts w:hint="default" w:ascii="Times New Roman" w:hAnsi="Times New Roman" w:eastAsia="仿宋_GB2312" w:cs="Times New Roman"/>
                <w:sz w:val="22"/>
                <w:szCs w:val="22"/>
                <w:vertAlign w:val="baseline"/>
                <w:lang w:eastAsia="zh-CN"/>
              </w:rPr>
              <w:t>全面运行彭阳县返乡农民工创业园，打造“电商园区+众创空间”运营管理模式，拓展创业政策咨询、产业链接、融资孵化、创业培训等服务功能，力争2021年发放农村妇女创业贷款、种养业贷款、创业担保贷款等4亿元以上，带动创业就业1万人，发放创业贷款和带动就业人数逐年增长12%和10%。</w:t>
            </w:r>
          </w:p>
        </w:tc>
        <w:tc>
          <w:tcPr>
            <w:tcW w:w="133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马  瑾</w:t>
            </w:r>
          </w:p>
        </w:tc>
        <w:tc>
          <w:tcPr>
            <w:tcW w:w="136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人力资源社会保障局</w:t>
            </w:r>
          </w:p>
        </w:tc>
        <w:tc>
          <w:tcPr>
            <w:tcW w:w="57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default" w:ascii="Times New Roman" w:hAnsi="Times New Roman" w:eastAsia="仿宋_GB2312" w:cs="Times New Roman"/>
                <w:sz w:val="22"/>
                <w:szCs w:val="22"/>
                <w:vertAlign w:val="baseline"/>
                <w:lang w:eastAsia="zh-CN"/>
              </w:rPr>
            </w:pPr>
          </w:p>
        </w:tc>
        <w:tc>
          <w:tcPr>
            <w:tcW w:w="88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5" w:hRule="atLeast"/>
        </w:trPr>
        <w:tc>
          <w:tcPr>
            <w:tcW w:w="86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8"/>
                <w:szCs w:val="28"/>
                <w:vertAlign w:val="baseline"/>
                <w:lang w:val="en-US" w:eastAsia="zh-CN"/>
              </w:rPr>
            </w:pPr>
            <w:r>
              <w:rPr>
                <w:rFonts w:hint="eastAsia" w:ascii="Times New Roman" w:hAnsi="Times New Roman" w:eastAsia="仿宋_GB2312" w:cs="Times New Roman"/>
                <w:sz w:val="28"/>
                <w:szCs w:val="28"/>
                <w:vertAlign w:val="baseline"/>
                <w:lang w:val="en-US" w:eastAsia="zh-CN"/>
              </w:rPr>
              <w:t>6</w:t>
            </w:r>
          </w:p>
        </w:tc>
        <w:tc>
          <w:tcPr>
            <w:tcW w:w="1393"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p>
        </w:tc>
        <w:tc>
          <w:tcPr>
            <w:tcW w:w="384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default" w:ascii="Times New Roman" w:hAnsi="Times New Roman" w:eastAsia="仿宋_GB2312" w:cs="Times New Roman"/>
                <w:sz w:val="22"/>
                <w:szCs w:val="22"/>
                <w:vertAlign w:val="baseline"/>
                <w:lang w:eastAsia="zh-CN"/>
              </w:rPr>
            </w:pPr>
            <w:r>
              <w:rPr>
                <w:rFonts w:hint="default" w:ascii="Times New Roman" w:hAnsi="Times New Roman" w:eastAsia="仿宋_GB2312" w:cs="Times New Roman"/>
                <w:sz w:val="22"/>
                <w:szCs w:val="22"/>
                <w:vertAlign w:val="baseline"/>
                <w:lang w:eastAsia="zh-CN"/>
              </w:rPr>
              <w:t>大力支持“夜市经济”和“地摊经济”发展，引导劳动者创办小规模经济实体，新增就业点2个，带动就业200人以上。</w:t>
            </w:r>
          </w:p>
        </w:tc>
        <w:tc>
          <w:tcPr>
            <w:tcW w:w="133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马  瑾</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王继讲</w:t>
            </w:r>
          </w:p>
        </w:tc>
        <w:tc>
          <w:tcPr>
            <w:tcW w:w="136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人力资源社会保障局</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住房城乡建设局</w:t>
            </w:r>
          </w:p>
        </w:tc>
        <w:tc>
          <w:tcPr>
            <w:tcW w:w="57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default" w:ascii="Times New Roman" w:hAnsi="Times New Roman" w:eastAsia="仿宋_GB2312" w:cs="Times New Roman"/>
                <w:sz w:val="22"/>
                <w:szCs w:val="22"/>
                <w:vertAlign w:val="baseline"/>
                <w:lang w:eastAsia="zh-CN"/>
              </w:rPr>
            </w:pPr>
          </w:p>
        </w:tc>
        <w:tc>
          <w:tcPr>
            <w:tcW w:w="88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9" w:hRule="atLeast"/>
        </w:trPr>
        <w:tc>
          <w:tcPr>
            <w:tcW w:w="86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8"/>
                <w:szCs w:val="28"/>
                <w:vertAlign w:val="baseline"/>
                <w:lang w:val="en-US" w:eastAsia="zh-CN"/>
              </w:rPr>
            </w:pPr>
            <w:r>
              <w:rPr>
                <w:rFonts w:hint="eastAsia" w:ascii="Times New Roman" w:hAnsi="Times New Roman" w:eastAsia="仿宋_GB2312" w:cs="Times New Roman"/>
                <w:sz w:val="28"/>
                <w:szCs w:val="28"/>
                <w:vertAlign w:val="baseline"/>
                <w:lang w:val="en-US" w:eastAsia="zh-CN"/>
              </w:rPr>
              <w:t>7</w:t>
            </w:r>
          </w:p>
        </w:tc>
        <w:tc>
          <w:tcPr>
            <w:tcW w:w="1393"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p>
        </w:tc>
        <w:tc>
          <w:tcPr>
            <w:tcW w:w="384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default" w:ascii="Times New Roman" w:hAnsi="Times New Roman" w:eastAsia="仿宋_GB2312" w:cs="Times New Roman"/>
                <w:sz w:val="22"/>
                <w:szCs w:val="22"/>
                <w:vertAlign w:val="baseline"/>
                <w:lang w:eastAsia="zh-CN"/>
              </w:rPr>
            </w:pPr>
            <w:r>
              <w:rPr>
                <w:rFonts w:hint="default" w:ascii="Times New Roman" w:hAnsi="Times New Roman" w:eastAsia="仿宋_GB2312" w:cs="Times New Roman"/>
                <w:sz w:val="22"/>
                <w:szCs w:val="22"/>
                <w:vertAlign w:val="baseline"/>
                <w:lang w:eastAsia="zh-CN"/>
              </w:rPr>
              <w:t>支持新业态发展，推动网络直播、网络零售、线上教育培训、互联网医疗等行业发展，年均新增加就业岗位60个，带动就业300人以上</w:t>
            </w:r>
            <w:r>
              <w:rPr>
                <w:rFonts w:hint="eastAsia" w:ascii="Times New Roman" w:hAnsi="Times New Roman" w:eastAsia="仿宋_GB2312" w:cs="Times New Roman"/>
                <w:sz w:val="22"/>
                <w:szCs w:val="22"/>
                <w:vertAlign w:val="baseline"/>
                <w:lang w:eastAsia="zh-CN"/>
              </w:rPr>
              <w:t>。</w:t>
            </w:r>
          </w:p>
        </w:tc>
        <w:tc>
          <w:tcPr>
            <w:tcW w:w="133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王志会</w:t>
            </w:r>
          </w:p>
        </w:tc>
        <w:tc>
          <w:tcPr>
            <w:tcW w:w="136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发展改革局</w:t>
            </w:r>
          </w:p>
        </w:tc>
        <w:tc>
          <w:tcPr>
            <w:tcW w:w="57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default" w:ascii="Times New Roman" w:hAnsi="Times New Roman" w:eastAsia="仿宋_GB2312" w:cs="Times New Roman"/>
                <w:sz w:val="22"/>
                <w:szCs w:val="22"/>
                <w:vertAlign w:val="baseline"/>
                <w:lang w:eastAsia="zh-CN"/>
              </w:rPr>
            </w:pPr>
          </w:p>
        </w:tc>
        <w:tc>
          <w:tcPr>
            <w:tcW w:w="88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86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8"/>
                <w:szCs w:val="28"/>
                <w:vertAlign w:val="baseline"/>
                <w:lang w:val="en-US" w:eastAsia="zh-CN"/>
              </w:rPr>
            </w:pPr>
            <w:r>
              <w:rPr>
                <w:rFonts w:hint="eastAsia" w:ascii="Times New Roman" w:hAnsi="Times New Roman" w:eastAsia="仿宋_GB2312" w:cs="Times New Roman"/>
                <w:sz w:val="28"/>
                <w:szCs w:val="28"/>
                <w:vertAlign w:val="baseline"/>
                <w:lang w:val="en-US" w:eastAsia="zh-CN"/>
              </w:rPr>
              <w:t>8</w:t>
            </w:r>
          </w:p>
        </w:tc>
        <w:tc>
          <w:tcPr>
            <w:tcW w:w="1393"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default" w:ascii="Times New Roman" w:hAnsi="Times New Roman" w:eastAsia="仿宋_GB2312" w:cs="Times New Roman"/>
                <w:sz w:val="22"/>
                <w:szCs w:val="22"/>
                <w:vertAlign w:val="baseline"/>
                <w:lang w:eastAsia="zh-CN"/>
              </w:rPr>
              <w:t>提升技能促增收</w:t>
            </w:r>
          </w:p>
        </w:tc>
        <w:tc>
          <w:tcPr>
            <w:tcW w:w="384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default" w:ascii="Times New Roman" w:hAnsi="Times New Roman" w:eastAsia="仿宋_GB2312" w:cs="Times New Roman"/>
                <w:sz w:val="22"/>
                <w:szCs w:val="22"/>
                <w:vertAlign w:val="baseline"/>
                <w:lang w:eastAsia="zh-CN"/>
              </w:rPr>
            </w:pPr>
            <w:r>
              <w:rPr>
                <w:rFonts w:hint="default" w:ascii="Times New Roman" w:hAnsi="Times New Roman" w:eastAsia="仿宋_GB2312" w:cs="Times New Roman"/>
                <w:sz w:val="22"/>
                <w:szCs w:val="22"/>
                <w:vertAlign w:val="baseline"/>
                <w:lang w:eastAsia="zh-CN"/>
              </w:rPr>
              <w:t>高质量实施高素质农民培训、职业技能培训、实用技术培训等培训项目，结合当地企业用工需求，推行订单、定向、定岗式培训，着力打造具有彭阳特色的“彭阳月嫂”、“彭阳保姆”等劳务品牌及一支有文化、懂技术、善经营、会管理的高素质农民队伍，2021年完成各类技能培训5000人</w:t>
            </w:r>
            <w:r>
              <w:rPr>
                <w:rFonts w:hint="eastAsia" w:ascii="Times New Roman" w:hAnsi="Times New Roman" w:eastAsia="仿宋_GB2312" w:cs="Times New Roman"/>
                <w:sz w:val="22"/>
                <w:szCs w:val="22"/>
                <w:vertAlign w:val="baseline"/>
                <w:lang w:eastAsia="zh-CN"/>
              </w:rPr>
              <w:t>。</w:t>
            </w:r>
          </w:p>
        </w:tc>
        <w:tc>
          <w:tcPr>
            <w:tcW w:w="133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何少庸</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马  瑾</w:t>
            </w:r>
          </w:p>
        </w:tc>
        <w:tc>
          <w:tcPr>
            <w:tcW w:w="136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人力资源社会保障局</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农业农村局</w:t>
            </w:r>
          </w:p>
        </w:tc>
        <w:tc>
          <w:tcPr>
            <w:tcW w:w="57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default" w:ascii="Times New Roman" w:hAnsi="Times New Roman" w:eastAsia="仿宋_GB2312" w:cs="Times New Roman"/>
                <w:sz w:val="22"/>
                <w:szCs w:val="22"/>
                <w:vertAlign w:val="baseline"/>
                <w:lang w:eastAsia="zh-CN"/>
              </w:rPr>
            </w:pPr>
          </w:p>
        </w:tc>
        <w:tc>
          <w:tcPr>
            <w:tcW w:w="88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86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8"/>
                <w:szCs w:val="28"/>
                <w:vertAlign w:val="baseline"/>
                <w:lang w:val="en-US" w:eastAsia="zh-CN"/>
              </w:rPr>
            </w:pPr>
            <w:r>
              <w:rPr>
                <w:rFonts w:hint="eastAsia" w:ascii="Times New Roman" w:hAnsi="Times New Roman" w:eastAsia="仿宋_GB2312" w:cs="Times New Roman"/>
                <w:sz w:val="28"/>
                <w:szCs w:val="28"/>
                <w:vertAlign w:val="baseline"/>
                <w:lang w:val="en-US" w:eastAsia="zh-CN"/>
              </w:rPr>
              <w:t>9</w:t>
            </w:r>
          </w:p>
        </w:tc>
        <w:tc>
          <w:tcPr>
            <w:tcW w:w="1393"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p>
        </w:tc>
        <w:tc>
          <w:tcPr>
            <w:tcW w:w="384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default" w:ascii="Times New Roman" w:hAnsi="Times New Roman" w:eastAsia="仿宋_GB2312" w:cs="Times New Roman"/>
                <w:sz w:val="22"/>
                <w:szCs w:val="22"/>
                <w:vertAlign w:val="baseline"/>
                <w:lang w:eastAsia="zh-CN"/>
              </w:rPr>
            </w:pPr>
            <w:r>
              <w:rPr>
                <w:rFonts w:hint="default" w:ascii="Times New Roman" w:hAnsi="Times New Roman" w:eastAsia="仿宋_GB2312" w:cs="Times New Roman"/>
                <w:sz w:val="22"/>
                <w:szCs w:val="22"/>
                <w:vertAlign w:val="baseline"/>
                <w:lang w:eastAsia="zh-CN"/>
              </w:rPr>
              <w:t>将有培训需求的返乡创业人员全部纳入培训范围，充分发挥乡土技能人才作用，重点开展种植、养殖、加工等方面具有针对性的培训，组建农村“土专家”专业服务队，注重开展“田间地头”、“车间大棚”式培训，并按规定落实好培训补贴</w:t>
            </w:r>
            <w:r>
              <w:rPr>
                <w:rFonts w:hint="eastAsia" w:ascii="Times New Roman" w:hAnsi="Times New Roman" w:eastAsia="仿宋_GB2312" w:cs="Times New Roman"/>
                <w:sz w:val="22"/>
                <w:szCs w:val="22"/>
                <w:vertAlign w:val="baseline"/>
                <w:lang w:eastAsia="zh-CN"/>
              </w:rPr>
              <w:t>。</w:t>
            </w:r>
          </w:p>
        </w:tc>
        <w:tc>
          <w:tcPr>
            <w:tcW w:w="133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何少庸</w:t>
            </w:r>
          </w:p>
        </w:tc>
        <w:tc>
          <w:tcPr>
            <w:tcW w:w="136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农业农村局</w:t>
            </w:r>
          </w:p>
        </w:tc>
        <w:tc>
          <w:tcPr>
            <w:tcW w:w="57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default" w:ascii="Times New Roman" w:hAnsi="Times New Roman" w:eastAsia="仿宋_GB2312" w:cs="Times New Roman"/>
                <w:sz w:val="22"/>
                <w:szCs w:val="22"/>
                <w:vertAlign w:val="baseline"/>
                <w:lang w:eastAsia="zh-CN"/>
              </w:rPr>
            </w:pPr>
          </w:p>
        </w:tc>
        <w:tc>
          <w:tcPr>
            <w:tcW w:w="88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86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8"/>
                <w:szCs w:val="28"/>
                <w:vertAlign w:val="baseline"/>
                <w:lang w:val="en-US" w:eastAsia="zh-CN"/>
              </w:rPr>
            </w:pPr>
            <w:r>
              <w:rPr>
                <w:rFonts w:hint="eastAsia" w:ascii="Times New Roman" w:hAnsi="Times New Roman" w:eastAsia="仿宋_GB2312" w:cs="Times New Roman"/>
                <w:sz w:val="28"/>
                <w:szCs w:val="28"/>
                <w:vertAlign w:val="baseline"/>
                <w:lang w:val="en-US" w:eastAsia="zh-CN"/>
              </w:rPr>
              <w:t>10</w:t>
            </w:r>
          </w:p>
        </w:tc>
        <w:tc>
          <w:tcPr>
            <w:tcW w:w="1393"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p>
        </w:tc>
        <w:tc>
          <w:tcPr>
            <w:tcW w:w="384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default" w:ascii="Times New Roman" w:hAnsi="Times New Roman" w:eastAsia="仿宋_GB2312" w:cs="Times New Roman"/>
                <w:sz w:val="22"/>
                <w:szCs w:val="22"/>
                <w:vertAlign w:val="baseline"/>
                <w:lang w:eastAsia="zh-CN"/>
              </w:rPr>
            </w:pPr>
            <w:r>
              <w:rPr>
                <w:rFonts w:hint="default" w:ascii="Times New Roman" w:hAnsi="Times New Roman" w:eastAsia="仿宋_GB2312" w:cs="Times New Roman"/>
                <w:sz w:val="22"/>
                <w:szCs w:val="22"/>
                <w:vertAlign w:val="baseline"/>
                <w:lang w:eastAsia="zh-CN"/>
              </w:rPr>
              <w:t>积极同全国高校、科研院所、医疗机构对接，充分发挥闽宁协作及中央定点帮扶工作机制，加强与全国、全区高端技术人才互访交流，通过网络教学、互派挂职干部、聘请技术专家等方式，不断提升县域知识产权人才储备和知识产权运用水平，不断夯实群众增收技术人才基础。</w:t>
            </w:r>
          </w:p>
        </w:tc>
        <w:tc>
          <w:tcPr>
            <w:tcW w:w="133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何少庸</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马  瑾</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荆瑞芳</w:t>
            </w:r>
          </w:p>
        </w:tc>
        <w:tc>
          <w:tcPr>
            <w:tcW w:w="136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教育体育局</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人力资源社会保障局</w:t>
            </w:r>
            <w:r>
              <w:rPr>
                <w:rFonts w:hint="eastAsia" w:ascii="Times New Roman" w:hAnsi="Times New Roman" w:eastAsia="仿宋_GB2312" w:cs="Times New Roman"/>
                <w:sz w:val="22"/>
                <w:szCs w:val="22"/>
                <w:vertAlign w:val="baseline"/>
                <w:lang w:val="en-US" w:eastAsia="zh-CN"/>
              </w:rPr>
              <w:t xml:space="preserve"> </w:t>
            </w:r>
            <w:r>
              <w:rPr>
                <w:rFonts w:hint="eastAsia" w:ascii="Times New Roman" w:hAnsi="Times New Roman" w:eastAsia="仿宋_GB2312" w:cs="Times New Roman"/>
                <w:sz w:val="22"/>
                <w:szCs w:val="22"/>
                <w:vertAlign w:val="baseline"/>
                <w:lang w:eastAsia="zh-CN"/>
              </w:rPr>
              <w:t>卫生健康局</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乡村振兴局</w:t>
            </w:r>
          </w:p>
        </w:tc>
        <w:tc>
          <w:tcPr>
            <w:tcW w:w="57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default" w:ascii="Times New Roman" w:hAnsi="Times New Roman" w:eastAsia="仿宋_GB2312" w:cs="Times New Roman"/>
                <w:sz w:val="22"/>
                <w:szCs w:val="22"/>
                <w:vertAlign w:val="baseline"/>
                <w:lang w:eastAsia="zh-CN"/>
              </w:rPr>
            </w:pPr>
          </w:p>
        </w:tc>
        <w:tc>
          <w:tcPr>
            <w:tcW w:w="88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0" w:hRule="atLeast"/>
        </w:trPr>
        <w:tc>
          <w:tcPr>
            <w:tcW w:w="86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8"/>
                <w:szCs w:val="28"/>
                <w:vertAlign w:val="baseline"/>
                <w:lang w:val="en-US" w:eastAsia="zh-CN"/>
              </w:rPr>
            </w:pPr>
            <w:r>
              <w:rPr>
                <w:rFonts w:hint="eastAsia" w:ascii="Times New Roman" w:hAnsi="Times New Roman" w:eastAsia="仿宋_GB2312" w:cs="Times New Roman"/>
                <w:sz w:val="28"/>
                <w:szCs w:val="28"/>
                <w:vertAlign w:val="baseline"/>
                <w:lang w:val="en-US" w:eastAsia="zh-CN"/>
              </w:rPr>
              <w:t>11</w:t>
            </w:r>
          </w:p>
        </w:tc>
        <w:tc>
          <w:tcPr>
            <w:tcW w:w="1393"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default" w:ascii="Times New Roman" w:hAnsi="Times New Roman" w:eastAsia="仿宋_GB2312" w:cs="Times New Roman"/>
                <w:sz w:val="22"/>
                <w:szCs w:val="22"/>
                <w:vertAlign w:val="baseline"/>
                <w:lang w:eastAsia="zh-CN"/>
              </w:rPr>
              <w:t>落实政策促增收</w:t>
            </w:r>
          </w:p>
        </w:tc>
        <w:tc>
          <w:tcPr>
            <w:tcW w:w="384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default" w:ascii="Times New Roman" w:hAnsi="Times New Roman" w:eastAsia="仿宋_GB2312" w:cs="Times New Roman"/>
                <w:sz w:val="22"/>
                <w:szCs w:val="22"/>
                <w:vertAlign w:val="baseline"/>
                <w:lang w:eastAsia="zh-CN"/>
              </w:rPr>
            </w:pPr>
            <w:r>
              <w:rPr>
                <w:rFonts w:hint="default" w:ascii="Times New Roman" w:hAnsi="Times New Roman" w:eastAsia="仿宋_GB2312" w:cs="Times New Roman"/>
                <w:sz w:val="22"/>
                <w:szCs w:val="22"/>
                <w:vertAlign w:val="baseline"/>
                <w:lang w:eastAsia="zh-CN"/>
              </w:rPr>
              <w:t>建立健全党内激励关怀帮扶机制和机关事业单位、村干部工作人员考核体系，考核结果与工资收入挂钩，提高干部工资性收入。完善机关事业单位改革性补贴和奖励性补贴政策，接续推进住房补贴和乡镇补贴等政策落实。</w:t>
            </w:r>
          </w:p>
        </w:tc>
        <w:tc>
          <w:tcPr>
            <w:tcW w:w="133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何少庸</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马  瑾</w:t>
            </w:r>
          </w:p>
        </w:tc>
        <w:tc>
          <w:tcPr>
            <w:tcW w:w="136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组织部</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财政局</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人力资源社会保障局</w:t>
            </w:r>
          </w:p>
        </w:tc>
        <w:tc>
          <w:tcPr>
            <w:tcW w:w="57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default" w:ascii="Times New Roman" w:hAnsi="Times New Roman" w:eastAsia="仿宋_GB2312" w:cs="Times New Roman"/>
                <w:sz w:val="22"/>
                <w:szCs w:val="22"/>
                <w:vertAlign w:val="baseline"/>
                <w:lang w:eastAsia="zh-CN"/>
              </w:rPr>
            </w:pPr>
          </w:p>
        </w:tc>
        <w:tc>
          <w:tcPr>
            <w:tcW w:w="88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trPr>
        <w:tc>
          <w:tcPr>
            <w:tcW w:w="86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8"/>
                <w:szCs w:val="28"/>
                <w:vertAlign w:val="baseline"/>
                <w:lang w:val="en-US" w:eastAsia="zh-CN"/>
              </w:rPr>
            </w:pPr>
            <w:r>
              <w:rPr>
                <w:rFonts w:hint="eastAsia" w:ascii="Times New Roman" w:hAnsi="Times New Roman" w:eastAsia="仿宋_GB2312" w:cs="Times New Roman"/>
                <w:sz w:val="28"/>
                <w:szCs w:val="28"/>
                <w:vertAlign w:val="baseline"/>
                <w:lang w:val="en-US" w:eastAsia="zh-CN"/>
              </w:rPr>
              <w:t>12</w:t>
            </w:r>
          </w:p>
        </w:tc>
        <w:tc>
          <w:tcPr>
            <w:tcW w:w="1393"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p>
        </w:tc>
        <w:tc>
          <w:tcPr>
            <w:tcW w:w="384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default" w:ascii="Times New Roman" w:hAnsi="Times New Roman" w:eastAsia="仿宋_GB2312" w:cs="Times New Roman"/>
                <w:sz w:val="22"/>
                <w:szCs w:val="22"/>
                <w:vertAlign w:val="baseline"/>
                <w:lang w:eastAsia="zh-CN"/>
              </w:rPr>
            </w:pPr>
            <w:r>
              <w:rPr>
                <w:rFonts w:hint="default" w:ascii="Times New Roman" w:hAnsi="Times New Roman" w:eastAsia="仿宋_GB2312" w:cs="Times New Roman"/>
                <w:sz w:val="22"/>
                <w:szCs w:val="22"/>
                <w:vertAlign w:val="baseline"/>
                <w:lang w:eastAsia="zh-CN"/>
              </w:rPr>
              <w:t>支持和鼓励事业单位选派专业技术人员到企业挂职、参与项目合作和离岗创新创业，提高干部干事创业劲头，实现企业、专业技术人员两方受益，双方增收。</w:t>
            </w:r>
          </w:p>
        </w:tc>
        <w:tc>
          <w:tcPr>
            <w:tcW w:w="133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马  瑾</w:t>
            </w:r>
          </w:p>
        </w:tc>
        <w:tc>
          <w:tcPr>
            <w:tcW w:w="136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组织部</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人力资源社会保障局</w:t>
            </w:r>
          </w:p>
        </w:tc>
        <w:tc>
          <w:tcPr>
            <w:tcW w:w="57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default" w:ascii="Times New Roman" w:hAnsi="Times New Roman" w:eastAsia="仿宋_GB2312" w:cs="Times New Roman"/>
                <w:sz w:val="22"/>
                <w:szCs w:val="22"/>
                <w:vertAlign w:val="baseline"/>
                <w:lang w:eastAsia="zh-CN"/>
              </w:rPr>
            </w:pPr>
          </w:p>
        </w:tc>
        <w:tc>
          <w:tcPr>
            <w:tcW w:w="88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trPr>
        <w:tc>
          <w:tcPr>
            <w:tcW w:w="86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8"/>
                <w:szCs w:val="28"/>
                <w:vertAlign w:val="baseline"/>
                <w:lang w:val="en-US" w:eastAsia="zh-CN"/>
              </w:rPr>
            </w:pPr>
            <w:r>
              <w:rPr>
                <w:rFonts w:hint="eastAsia" w:ascii="Times New Roman" w:hAnsi="Times New Roman" w:eastAsia="仿宋_GB2312" w:cs="Times New Roman"/>
                <w:sz w:val="28"/>
                <w:szCs w:val="28"/>
                <w:vertAlign w:val="baseline"/>
                <w:lang w:val="en-US" w:eastAsia="zh-CN"/>
              </w:rPr>
              <w:t>13</w:t>
            </w:r>
          </w:p>
        </w:tc>
        <w:tc>
          <w:tcPr>
            <w:tcW w:w="1393"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p>
        </w:tc>
        <w:tc>
          <w:tcPr>
            <w:tcW w:w="384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default" w:ascii="Times New Roman" w:hAnsi="Times New Roman" w:eastAsia="仿宋_GB2312" w:cs="Times New Roman"/>
                <w:sz w:val="22"/>
                <w:szCs w:val="22"/>
                <w:vertAlign w:val="baseline"/>
                <w:lang w:eastAsia="zh-CN"/>
              </w:rPr>
            </w:pPr>
            <w:r>
              <w:rPr>
                <w:rFonts w:hint="default" w:ascii="Times New Roman" w:hAnsi="Times New Roman" w:eastAsia="仿宋_GB2312" w:cs="Times New Roman"/>
                <w:sz w:val="22"/>
                <w:szCs w:val="22"/>
                <w:vertAlign w:val="baseline"/>
                <w:lang w:eastAsia="zh-CN"/>
              </w:rPr>
              <w:t>进一步完善公务员职务职级并行、事业单位管理岗位晋升、村干部工作报酬同村级党组织评星定级挂钩制度。</w:t>
            </w:r>
          </w:p>
        </w:tc>
        <w:tc>
          <w:tcPr>
            <w:tcW w:w="133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马  瑾</w:t>
            </w:r>
          </w:p>
        </w:tc>
        <w:tc>
          <w:tcPr>
            <w:tcW w:w="136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组织部</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人力资源社会保障局</w:t>
            </w:r>
          </w:p>
        </w:tc>
        <w:tc>
          <w:tcPr>
            <w:tcW w:w="57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default" w:ascii="Times New Roman" w:hAnsi="Times New Roman" w:eastAsia="仿宋_GB2312" w:cs="Times New Roman"/>
                <w:sz w:val="22"/>
                <w:szCs w:val="22"/>
                <w:vertAlign w:val="baseline"/>
                <w:lang w:eastAsia="zh-CN"/>
              </w:rPr>
            </w:pPr>
          </w:p>
        </w:tc>
        <w:tc>
          <w:tcPr>
            <w:tcW w:w="88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1" w:hRule="atLeast"/>
        </w:trPr>
        <w:tc>
          <w:tcPr>
            <w:tcW w:w="86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8"/>
                <w:szCs w:val="28"/>
                <w:vertAlign w:val="baseline"/>
                <w:lang w:val="en-US" w:eastAsia="zh-CN"/>
              </w:rPr>
            </w:pPr>
            <w:r>
              <w:rPr>
                <w:rFonts w:hint="eastAsia" w:ascii="Times New Roman" w:hAnsi="Times New Roman" w:eastAsia="仿宋_GB2312" w:cs="Times New Roman"/>
                <w:sz w:val="28"/>
                <w:szCs w:val="28"/>
                <w:vertAlign w:val="baseline"/>
                <w:lang w:val="en-US" w:eastAsia="zh-CN"/>
              </w:rPr>
              <w:t>14</w:t>
            </w:r>
          </w:p>
        </w:tc>
        <w:tc>
          <w:tcPr>
            <w:tcW w:w="1393"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p>
        </w:tc>
        <w:tc>
          <w:tcPr>
            <w:tcW w:w="384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default" w:ascii="Times New Roman" w:hAnsi="Times New Roman" w:eastAsia="仿宋_GB2312" w:cs="Times New Roman"/>
                <w:sz w:val="22"/>
                <w:szCs w:val="22"/>
                <w:vertAlign w:val="baseline"/>
                <w:lang w:eastAsia="zh-CN"/>
              </w:rPr>
            </w:pPr>
            <w:r>
              <w:rPr>
                <w:rFonts w:hint="default" w:ascii="Times New Roman" w:hAnsi="Times New Roman" w:eastAsia="仿宋_GB2312" w:cs="Times New Roman"/>
                <w:sz w:val="22"/>
                <w:szCs w:val="22"/>
                <w:vertAlign w:val="baseline"/>
                <w:lang w:eastAsia="zh-CN"/>
              </w:rPr>
              <w:t>全力促进劳动力报酬合理增长机制，调整最低工资标准和企业工资指导线，严格落实合理调整小规模纳税人、小微企业、个体工商户增值税起征点政策，指导企业根据经济效益和劳动生产率情况，确定企业平均工资增长幅度。</w:t>
            </w:r>
          </w:p>
        </w:tc>
        <w:tc>
          <w:tcPr>
            <w:tcW w:w="133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何少庸</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马  瑾</w:t>
            </w:r>
          </w:p>
        </w:tc>
        <w:tc>
          <w:tcPr>
            <w:tcW w:w="136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人力资源社会保障局</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税务局</w:t>
            </w:r>
          </w:p>
        </w:tc>
        <w:tc>
          <w:tcPr>
            <w:tcW w:w="57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default" w:ascii="Times New Roman" w:hAnsi="Times New Roman" w:eastAsia="仿宋_GB2312" w:cs="Times New Roman"/>
                <w:sz w:val="22"/>
                <w:szCs w:val="22"/>
                <w:vertAlign w:val="baseline"/>
                <w:lang w:eastAsia="zh-CN"/>
              </w:rPr>
            </w:pPr>
          </w:p>
        </w:tc>
        <w:tc>
          <w:tcPr>
            <w:tcW w:w="88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6" w:hRule="atLeast"/>
        </w:trPr>
        <w:tc>
          <w:tcPr>
            <w:tcW w:w="86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8"/>
                <w:szCs w:val="28"/>
                <w:vertAlign w:val="baseline"/>
                <w:lang w:val="en-US" w:eastAsia="zh-CN"/>
              </w:rPr>
            </w:pPr>
            <w:r>
              <w:rPr>
                <w:rFonts w:hint="eastAsia" w:ascii="Times New Roman" w:hAnsi="Times New Roman" w:eastAsia="仿宋_GB2312" w:cs="Times New Roman"/>
                <w:sz w:val="28"/>
                <w:szCs w:val="28"/>
                <w:vertAlign w:val="baseline"/>
                <w:lang w:val="en-US" w:eastAsia="zh-CN"/>
              </w:rPr>
              <w:t>15</w:t>
            </w:r>
          </w:p>
        </w:tc>
        <w:tc>
          <w:tcPr>
            <w:tcW w:w="1393"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default" w:ascii="Times New Roman" w:hAnsi="Times New Roman" w:eastAsia="仿宋_GB2312" w:cs="Times New Roman"/>
                <w:sz w:val="22"/>
                <w:szCs w:val="22"/>
                <w:vertAlign w:val="baseline"/>
                <w:lang w:eastAsia="zh-CN"/>
              </w:rPr>
              <w:t>扩大一产增收</w:t>
            </w:r>
          </w:p>
        </w:tc>
        <w:tc>
          <w:tcPr>
            <w:tcW w:w="384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default" w:ascii="Times New Roman" w:hAnsi="Times New Roman" w:eastAsia="仿宋_GB2312" w:cs="Times New Roman"/>
                <w:sz w:val="22"/>
                <w:szCs w:val="22"/>
                <w:vertAlign w:val="baseline"/>
                <w:lang w:eastAsia="zh-CN"/>
              </w:rPr>
            </w:pPr>
            <w:r>
              <w:rPr>
                <w:rFonts w:hint="default" w:ascii="Times New Roman" w:hAnsi="Times New Roman" w:eastAsia="仿宋_GB2312" w:cs="Times New Roman"/>
                <w:sz w:val="22"/>
                <w:szCs w:val="22"/>
                <w:vertAlign w:val="baseline"/>
                <w:lang w:eastAsia="zh-CN"/>
              </w:rPr>
              <w:t>深入“实施藏粮于地，藏粮于技战略”，坚决遏制耕地非农化，防止非粮化，全县粮食播种面积稳定在72.5万亩以上，粮食产量稳定在22万吨以上。</w:t>
            </w:r>
          </w:p>
        </w:tc>
        <w:tc>
          <w:tcPr>
            <w:tcW w:w="133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何少庸</w:t>
            </w:r>
          </w:p>
        </w:tc>
        <w:tc>
          <w:tcPr>
            <w:tcW w:w="136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农业农村局</w:t>
            </w:r>
          </w:p>
        </w:tc>
        <w:tc>
          <w:tcPr>
            <w:tcW w:w="57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default" w:ascii="Times New Roman" w:hAnsi="Times New Roman" w:eastAsia="仿宋_GB2312" w:cs="Times New Roman"/>
                <w:sz w:val="22"/>
                <w:szCs w:val="22"/>
                <w:vertAlign w:val="baseline"/>
                <w:lang w:eastAsia="zh-CN"/>
              </w:rPr>
            </w:pPr>
          </w:p>
        </w:tc>
        <w:tc>
          <w:tcPr>
            <w:tcW w:w="88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6" w:hRule="atLeast"/>
        </w:trPr>
        <w:tc>
          <w:tcPr>
            <w:tcW w:w="86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8"/>
                <w:szCs w:val="28"/>
                <w:vertAlign w:val="baseline"/>
                <w:lang w:val="en-US" w:eastAsia="zh-CN"/>
              </w:rPr>
            </w:pPr>
            <w:r>
              <w:rPr>
                <w:rFonts w:hint="eastAsia" w:ascii="Times New Roman" w:hAnsi="Times New Roman" w:eastAsia="仿宋_GB2312" w:cs="Times New Roman"/>
                <w:sz w:val="28"/>
                <w:szCs w:val="28"/>
                <w:vertAlign w:val="baseline"/>
                <w:lang w:val="en-US" w:eastAsia="zh-CN"/>
              </w:rPr>
              <w:t>16</w:t>
            </w:r>
          </w:p>
        </w:tc>
        <w:tc>
          <w:tcPr>
            <w:tcW w:w="1393"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p>
        </w:tc>
        <w:tc>
          <w:tcPr>
            <w:tcW w:w="384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default" w:ascii="Times New Roman" w:hAnsi="Times New Roman" w:eastAsia="仿宋_GB2312" w:cs="Times New Roman"/>
                <w:sz w:val="22"/>
                <w:szCs w:val="22"/>
                <w:vertAlign w:val="baseline"/>
                <w:lang w:eastAsia="zh-CN"/>
              </w:rPr>
            </w:pPr>
            <w:r>
              <w:rPr>
                <w:rFonts w:hint="default" w:ascii="Times New Roman" w:hAnsi="Times New Roman" w:eastAsia="仿宋_GB2312" w:cs="Times New Roman"/>
                <w:sz w:val="22"/>
                <w:szCs w:val="22"/>
                <w:vertAlign w:val="baseline"/>
                <w:lang w:eastAsia="zh-CN"/>
              </w:rPr>
              <w:t>以建设国家农业绿色发展示范县、国家农业示范园为目标，不断扩大产业规模，推进农机农艺融合、良种良法配套，提升资源利用率、土地产出力、劳动生产率，全力创建30万头肉牛、60万亩牧草、20万亩林果、10万亩蔬菜、20万亩中药材、10亿元地方板块“六大产业集群”。2021年农业产业提供农民人均可支配收入达到5060元</w:t>
            </w:r>
            <w:r>
              <w:rPr>
                <w:rFonts w:hint="eastAsia" w:ascii="Times New Roman" w:hAnsi="Times New Roman" w:eastAsia="仿宋_GB2312" w:cs="Times New Roman"/>
                <w:sz w:val="22"/>
                <w:szCs w:val="22"/>
                <w:vertAlign w:val="baseline"/>
                <w:lang w:eastAsia="zh-CN"/>
              </w:rPr>
              <w:t>。</w:t>
            </w:r>
          </w:p>
        </w:tc>
        <w:tc>
          <w:tcPr>
            <w:tcW w:w="133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何少庸</w:t>
            </w:r>
          </w:p>
        </w:tc>
        <w:tc>
          <w:tcPr>
            <w:tcW w:w="136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农业农村局</w:t>
            </w:r>
          </w:p>
        </w:tc>
        <w:tc>
          <w:tcPr>
            <w:tcW w:w="57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default" w:ascii="Times New Roman" w:hAnsi="Times New Roman" w:eastAsia="仿宋_GB2312" w:cs="Times New Roman"/>
                <w:sz w:val="22"/>
                <w:szCs w:val="22"/>
                <w:vertAlign w:val="baseline"/>
                <w:lang w:eastAsia="zh-CN"/>
              </w:rPr>
            </w:pPr>
          </w:p>
        </w:tc>
        <w:tc>
          <w:tcPr>
            <w:tcW w:w="88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86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8"/>
                <w:szCs w:val="28"/>
                <w:vertAlign w:val="baseline"/>
                <w:lang w:val="en-US" w:eastAsia="zh-CN"/>
              </w:rPr>
            </w:pPr>
            <w:r>
              <w:rPr>
                <w:rFonts w:hint="eastAsia" w:ascii="Times New Roman" w:hAnsi="Times New Roman" w:eastAsia="仿宋_GB2312" w:cs="Times New Roman"/>
                <w:sz w:val="28"/>
                <w:szCs w:val="28"/>
                <w:vertAlign w:val="baseline"/>
                <w:lang w:val="en-US" w:eastAsia="zh-CN"/>
              </w:rPr>
              <w:t>17</w:t>
            </w:r>
          </w:p>
        </w:tc>
        <w:tc>
          <w:tcPr>
            <w:tcW w:w="1393"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default" w:ascii="Times New Roman" w:hAnsi="Times New Roman" w:eastAsia="仿宋_GB2312" w:cs="Times New Roman"/>
                <w:sz w:val="22"/>
                <w:szCs w:val="22"/>
                <w:vertAlign w:val="baseline"/>
                <w:lang w:eastAsia="zh-CN"/>
              </w:rPr>
              <w:t>促进二产增产</w:t>
            </w:r>
          </w:p>
        </w:tc>
        <w:tc>
          <w:tcPr>
            <w:tcW w:w="384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default" w:ascii="Times New Roman" w:hAnsi="Times New Roman" w:eastAsia="仿宋_GB2312" w:cs="Times New Roman"/>
                <w:sz w:val="22"/>
                <w:szCs w:val="22"/>
                <w:vertAlign w:val="baseline"/>
                <w:lang w:eastAsia="zh-CN"/>
              </w:rPr>
            </w:pPr>
            <w:r>
              <w:rPr>
                <w:rFonts w:hint="default" w:ascii="Times New Roman" w:hAnsi="Times New Roman" w:eastAsia="仿宋_GB2312" w:cs="Times New Roman"/>
                <w:sz w:val="22"/>
                <w:szCs w:val="22"/>
                <w:vertAlign w:val="baseline"/>
                <w:lang w:eastAsia="zh-CN"/>
              </w:rPr>
              <w:t>以“粮头食尾，农头工尾”为抓手，大力开发高档牛肉制品、休闲方便肉食品。新引进辣椒酱加工、火锅底料等休闲食品开发企业3家以上，新引进中华蜂蜜、中药饮茶等高端康养食品开发企业4家，培育巩固蔬菜烘干、果品加工企业10家以上，建成区级以上绿色食品加工园区，农产品加工转化率达到50%以上</w:t>
            </w:r>
            <w:r>
              <w:rPr>
                <w:rFonts w:hint="eastAsia" w:ascii="Times New Roman" w:hAnsi="Times New Roman" w:eastAsia="仿宋_GB2312" w:cs="Times New Roman"/>
                <w:sz w:val="22"/>
                <w:szCs w:val="22"/>
                <w:vertAlign w:val="baseline"/>
                <w:lang w:eastAsia="zh-CN"/>
              </w:rPr>
              <w:t>。</w:t>
            </w:r>
          </w:p>
        </w:tc>
        <w:tc>
          <w:tcPr>
            <w:tcW w:w="133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何少庸</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王志会</w:t>
            </w:r>
          </w:p>
        </w:tc>
        <w:tc>
          <w:tcPr>
            <w:tcW w:w="136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园区管委会</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农业农村局</w:t>
            </w:r>
          </w:p>
        </w:tc>
        <w:tc>
          <w:tcPr>
            <w:tcW w:w="57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default" w:ascii="Times New Roman" w:hAnsi="Times New Roman" w:eastAsia="仿宋_GB2312" w:cs="Times New Roman"/>
                <w:sz w:val="22"/>
                <w:szCs w:val="22"/>
                <w:vertAlign w:val="baseline"/>
                <w:lang w:eastAsia="zh-CN"/>
              </w:rPr>
            </w:pPr>
          </w:p>
        </w:tc>
        <w:tc>
          <w:tcPr>
            <w:tcW w:w="88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4" w:hRule="atLeast"/>
        </w:trPr>
        <w:tc>
          <w:tcPr>
            <w:tcW w:w="86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8"/>
                <w:szCs w:val="28"/>
                <w:vertAlign w:val="baseline"/>
                <w:lang w:val="en-US" w:eastAsia="zh-CN"/>
              </w:rPr>
            </w:pPr>
            <w:r>
              <w:rPr>
                <w:rFonts w:hint="eastAsia" w:ascii="Times New Roman" w:hAnsi="Times New Roman" w:eastAsia="仿宋_GB2312" w:cs="Times New Roman"/>
                <w:sz w:val="28"/>
                <w:szCs w:val="28"/>
                <w:vertAlign w:val="baseline"/>
                <w:lang w:val="en-US" w:eastAsia="zh-CN"/>
              </w:rPr>
              <w:t>18</w:t>
            </w:r>
          </w:p>
        </w:tc>
        <w:tc>
          <w:tcPr>
            <w:tcW w:w="1393"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default" w:ascii="Times New Roman" w:hAnsi="Times New Roman" w:eastAsia="仿宋_GB2312" w:cs="Times New Roman"/>
                <w:sz w:val="22"/>
                <w:szCs w:val="22"/>
                <w:vertAlign w:val="baseline"/>
                <w:lang w:eastAsia="zh-CN"/>
              </w:rPr>
              <w:t>促进二产增产</w:t>
            </w:r>
          </w:p>
        </w:tc>
        <w:tc>
          <w:tcPr>
            <w:tcW w:w="384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default" w:ascii="Times New Roman" w:hAnsi="Times New Roman" w:eastAsia="仿宋_GB2312" w:cs="Times New Roman"/>
                <w:sz w:val="22"/>
                <w:szCs w:val="22"/>
                <w:vertAlign w:val="baseline"/>
                <w:lang w:eastAsia="zh-CN"/>
              </w:rPr>
            </w:pPr>
            <w:r>
              <w:rPr>
                <w:rFonts w:hint="default" w:ascii="Times New Roman" w:hAnsi="Times New Roman" w:eastAsia="仿宋_GB2312" w:cs="Times New Roman"/>
                <w:sz w:val="22"/>
                <w:szCs w:val="22"/>
                <w:vertAlign w:val="baseline"/>
                <w:lang w:eastAsia="zh-CN"/>
              </w:rPr>
              <w:t>着力构建纺织服装、农副产品加工、煤炭综合利用“三大工业体系”，积极培育建材、农产品精深加工等延伸产业，2021年规上工业增加值达到12.95亿元</w:t>
            </w:r>
            <w:r>
              <w:rPr>
                <w:rFonts w:hint="eastAsia" w:ascii="Times New Roman" w:hAnsi="Times New Roman" w:eastAsia="仿宋_GB2312" w:cs="Times New Roman"/>
                <w:sz w:val="22"/>
                <w:szCs w:val="22"/>
                <w:vertAlign w:val="baseline"/>
                <w:lang w:eastAsia="zh-CN"/>
              </w:rPr>
              <w:t>。</w:t>
            </w:r>
          </w:p>
        </w:tc>
        <w:tc>
          <w:tcPr>
            <w:tcW w:w="133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王志会</w:t>
            </w:r>
          </w:p>
        </w:tc>
        <w:tc>
          <w:tcPr>
            <w:tcW w:w="136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园区管委会</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发展改革局</w:t>
            </w:r>
          </w:p>
        </w:tc>
        <w:tc>
          <w:tcPr>
            <w:tcW w:w="57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default" w:ascii="Times New Roman" w:hAnsi="Times New Roman" w:eastAsia="仿宋_GB2312" w:cs="Times New Roman"/>
                <w:sz w:val="22"/>
                <w:szCs w:val="22"/>
                <w:vertAlign w:val="baseline"/>
                <w:lang w:eastAsia="zh-CN"/>
              </w:rPr>
            </w:pPr>
          </w:p>
        </w:tc>
        <w:tc>
          <w:tcPr>
            <w:tcW w:w="88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86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Times New Roman" w:hAnsi="Times New Roman" w:eastAsia="仿宋_GB2312" w:cs="Times New Roman"/>
                <w:sz w:val="28"/>
                <w:szCs w:val="28"/>
                <w:vertAlign w:val="baseline"/>
                <w:lang w:val="en-US" w:eastAsia="zh-CN"/>
              </w:rPr>
            </w:pPr>
            <w:r>
              <w:rPr>
                <w:rFonts w:hint="eastAsia" w:ascii="Times New Roman" w:hAnsi="Times New Roman" w:eastAsia="仿宋_GB2312" w:cs="Times New Roman"/>
                <w:sz w:val="28"/>
                <w:szCs w:val="28"/>
                <w:vertAlign w:val="baseline"/>
                <w:lang w:val="en-US" w:eastAsia="zh-CN"/>
              </w:rPr>
              <w:t>19</w:t>
            </w:r>
          </w:p>
        </w:tc>
        <w:tc>
          <w:tcPr>
            <w:tcW w:w="1393"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default" w:ascii="Times New Roman" w:hAnsi="Times New Roman" w:eastAsia="仿宋_GB2312" w:cs="Times New Roman"/>
                <w:sz w:val="22"/>
                <w:szCs w:val="22"/>
                <w:vertAlign w:val="baseline"/>
                <w:lang w:eastAsia="zh-CN"/>
              </w:rPr>
              <w:t>推动三产增效</w:t>
            </w:r>
          </w:p>
        </w:tc>
        <w:tc>
          <w:tcPr>
            <w:tcW w:w="384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default" w:ascii="Times New Roman" w:hAnsi="Times New Roman" w:eastAsia="仿宋_GB2312" w:cs="Times New Roman"/>
                <w:sz w:val="22"/>
                <w:szCs w:val="22"/>
                <w:vertAlign w:val="baseline"/>
                <w:lang w:eastAsia="zh-CN"/>
              </w:rPr>
            </w:pPr>
            <w:r>
              <w:rPr>
                <w:rFonts w:hint="default" w:ascii="Times New Roman" w:hAnsi="Times New Roman" w:eastAsia="仿宋_GB2312" w:cs="Times New Roman"/>
                <w:sz w:val="22"/>
                <w:szCs w:val="22"/>
                <w:vertAlign w:val="baseline"/>
                <w:lang w:eastAsia="zh-CN"/>
              </w:rPr>
              <w:t>依托国家全域旅游示范县、长征长城旅游中转站等，做足“旅游+体育”文章，每年举办各类大型节庆、体育活动15场次，体育活动综合收入每年稳定在2000万元以上。</w:t>
            </w:r>
          </w:p>
        </w:tc>
        <w:tc>
          <w:tcPr>
            <w:tcW w:w="133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何少庸</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马  瑾</w:t>
            </w:r>
          </w:p>
        </w:tc>
        <w:tc>
          <w:tcPr>
            <w:tcW w:w="136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教育体育局</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文化旅游广电局</w:t>
            </w:r>
          </w:p>
        </w:tc>
        <w:tc>
          <w:tcPr>
            <w:tcW w:w="57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default" w:ascii="Times New Roman" w:hAnsi="Times New Roman" w:eastAsia="仿宋_GB2312" w:cs="Times New Roman"/>
                <w:sz w:val="22"/>
                <w:szCs w:val="22"/>
                <w:vertAlign w:val="baseline"/>
                <w:lang w:eastAsia="zh-CN"/>
              </w:rPr>
            </w:pPr>
          </w:p>
        </w:tc>
        <w:tc>
          <w:tcPr>
            <w:tcW w:w="88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86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Times New Roman" w:hAnsi="Times New Roman" w:eastAsia="仿宋_GB2312" w:cs="Times New Roman"/>
                <w:sz w:val="28"/>
                <w:szCs w:val="28"/>
                <w:vertAlign w:val="baseline"/>
                <w:lang w:val="en-US" w:eastAsia="zh-CN"/>
              </w:rPr>
            </w:pPr>
            <w:r>
              <w:rPr>
                <w:rFonts w:hint="eastAsia" w:ascii="Times New Roman" w:hAnsi="Times New Roman" w:eastAsia="仿宋_GB2312" w:cs="Times New Roman"/>
                <w:sz w:val="28"/>
                <w:szCs w:val="28"/>
                <w:vertAlign w:val="baseline"/>
                <w:lang w:val="en-US" w:eastAsia="zh-CN"/>
              </w:rPr>
              <w:t>20</w:t>
            </w:r>
          </w:p>
        </w:tc>
        <w:tc>
          <w:tcPr>
            <w:tcW w:w="1393"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p>
        </w:tc>
        <w:tc>
          <w:tcPr>
            <w:tcW w:w="384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default" w:ascii="Times New Roman" w:hAnsi="Times New Roman" w:eastAsia="仿宋_GB2312" w:cs="Times New Roman"/>
                <w:sz w:val="22"/>
                <w:szCs w:val="22"/>
                <w:vertAlign w:val="baseline"/>
                <w:lang w:eastAsia="zh-CN"/>
              </w:rPr>
            </w:pPr>
            <w:r>
              <w:rPr>
                <w:rFonts w:hint="default" w:ascii="Times New Roman" w:hAnsi="Times New Roman" w:eastAsia="仿宋_GB2312" w:cs="Times New Roman"/>
                <w:sz w:val="22"/>
                <w:szCs w:val="22"/>
                <w:vertAlign w:val="baseline"/>
                <w:lang w:eastAsia="zh-CN"/>
              </w:rPr>
              <w:t>拓展旅游新业态，新建重点旅游景点、旅游示范村7个，培育巩固星级酒店、餐厅2家，新发展星级农家乐30家。每年举办农民丰收节、山花节、梯田花儿节等重点节庆活动5次，大力开发宣传剪纸、特色手工制品等旅游商品，2021年接待游客、旅游综合收入分别达到70万人次和2.8亿元以上</w:t>
            </w:r>
            <w:r>
              <w:rPr>
                <w:rFonts w:hint="eastAsia" w:ascii="Times New Roman" w:hAnsi="Times New Roman" w:eastAsia="仿宋_GB2312" w:cs="Times New Roman"/>
                <w:sz w:val="22"/>
                <w:szCs w:val="22"/>
                <w:vertAlign w:val="baseline"/>
                <w:lang w:eastAsia="zh-CN"/>
              </w:rPr>
              <w:t>。</w:t>
            </w:r>
          </w:p>
        </w:tc>
        <w:tc>
          <w:tcPr>
            <w:tcW w:w="133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马  瑾</w:t>
            </w:r>
          </w:p>
        </w:tc>
        <w:tc>
          <w:tcPr>
            <w:tcW w:w="136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文化旅游广电局</w:t>
            </w:r>
          </w:p>
        </w:tc>
        <w:tc>
          <w:tcPr>
            <w:tcW w:w="57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default" w:ascii="Times New Roman" w:hAnsi="Times New Roman" w:eastAsia="仿宋_GB2312" w:cs="Times New Roman"/>
                <w:sz w:val="22"/>
                <w:szCs w:val="22"/>
                <w:vertAlign w:val="baseline"/>
                <w:lang w:eastAsia="zh-CN"/>
              </w:rPr>
            </w:pPr>
          </w:p>
        </w:tc>
        <w:tc>
          <w:tcPr>
            <w:tcW w:w="88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86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Times New Roman" w:hAnsi="Times New Roman" w:eastAsia="仿宋_GB2312" w:cs="Times New Roman"/>
                <w:sz w:val="28"/>
                <w:szCs w:val="28"/>
                <w:vertAlign w:val="baseline"/>
                <w:lang w:val="en-US" w:eastAsia="zh-CN"/>
              </w:rPr>
            </w:pPr>
            <w:r>
              <w:rPr>
                <w:rFonts w:hint="eastAsia" w:ascii="Times New Roman" w:hAnsi="Times New Roman" w:eastAsia="仿宋_GB2312" w:cs="Times New Roman"/>
                <w:sz w:val="28"/>
                <w:szCs w:val="28"/>
                <w:vertAlign w:val="baseline"/>
                <w:lang w:val="en-US" w:eastAsia="zh-CN"/>
              </w:rPr>
              <w:t>21</w:t>
            </w:r>
          </w:p>
        </w:tc>
        <w:tc>
          <w:tcPr>
            <w:tcW w:w="1393"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p>
        </w:tc>
        <w:tc>
          <w:tcPr>
            <w:tcW w:w="384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default" w:ascii="Times New Roman" w:hAnsi="Times New Roman" w:eastAsia="仿宋_GB2312" w:cs="Times New Roman"/>
                <w:sz w:val="22"/>
                <w:szCs w:val="22"/>
                <w:vertAlign w:val="baseline"/>
                <w:lang w:eastAsia="zh-CN"/>
              </w:rPr>
            </w:pPr>
            <w:r>
              <w:rPr>
                <w:rFonts w:hint="default" w:ascii="Times New Roman" w:hAnsi="Times New Roman" w:eastAsia="仿宋_GB2312" w:cs="Times New Roman"/>
                <w:sz w:val="22"/>
                <w:szCs w:val="22"/>
                <w:vertAlign w:val="baseline"/>
                <w:lang w:eastAsia="zh-CN"/>
              </w:rPr>
              <w:t>大力发展电子商务，加大线上线下推广和营销力度，建立外销窗口和农产品电商销售网点，持续培育巩固农产品电商平台企业，积极促进消费品下行带动农产品上行，2021年实现电商销售收入1.2亿元</w:t>
            </w:r>
          </w:p>
        </w:tc>
        <w:tc>
          <w:tcPr>
            <w:tcW w:w="133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王志会</w:t>
            </w:r>
          </w:p>
        </w:tc>
        <w:tc>
          <w:tcPr>
            <w:tcW w:w="136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发展改革局</w:t>
            </w:r>
          </w:p>
        </w:tc>
        <w:tc>
          <w:tcPr>
            <w:tcW w:w="57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default" w:ascii="Times New Roman" w:hAnsi="Times New Roman" w:eastAsia="仿宋_GB2312" w:cs="Times New Roman"/>
                <w:sz w:val="22"/>
                <w:szCs w:val="22"/>
                <w:vertAlign w:val="baseline"/>
                <w:lang w:eastAsia="zh-CN"/>
              </w:rPr>
            </w:pPr>
          </w:p>
        </w:tc>
        <w:tc>
          <w:tcPr>
            <w:tcW w:w="88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8" w:hRule="atLeast"/>
        </w:trPr>
        <w:tc>
          <w:tcPr>
            <w:tcW w:w="86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Times New Roman" w:hAnsi="Times New Roman" w:eastAsia="仿宋_GB2312" w:cs="Times New Roman"/>
                <w:sz w:val="28"/>
                <w:szCs w:val="28"/>
                <w:vertAlign w:val="baseline"/>
                <w:lang w:val="en-US" w:eastAsia="zh-CN"/>
              </w:rPr>
            </w:pPr>
            <w:r>
              <w:rPr>
                <w:rFonts w:hint="eastAsia" w:ascii="Times New Roman" w:hAnsi="Times New Roman" w:eastAsia="仿宋_GB2312" w:cs="Times New Roman"/>
                <w:sz w:val="28"/>
                <w:szCs w:val="28"/>
                <w:vertAlign w:val="baseline"/>
                <w:lang w:val="en-US" w:eastAsia="zh-CN"/>
              </w:rPr>
              <w:t>22</w:t>
            </w:r>
          </w:p>
        </w:tc>
        <w:tc>
          <w:tcPr>
            <w:tcW w:w="1393"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default" w:ascii="Times New Roman" w:hAnsi="Times New Roman" w:eastAsia="仿宋_GB2312" w:cs="Times New Roman"/>
                <w:sz w:val="22"/>
                <w:szCs w:val="22"/>
                <w:vertAlign w:val="baseline"/>
                <w:lang w:eastAsia="zh-CN"/>
              </w:rPr>
              <w:t>推动三产增效</w:t>
            </w:r>
          </w:p>
        </w:tc>
        <w:tc>
          <w:tcPr>
            <w:tcW w:w="384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default" w:ascii="Times New Roman" w:hAnsi="Times New Roman" w:eastAsia="仿宋_GB2312" w:cs="Times New Roman"/>
                <w:sz w:val="22"/>
                <w:szCs w:val="22"/>
                <w:vertAlign w:val="baseline"/>
                <w:lang w:eastAsia="zh-CN"/>
              </w:rPr>
            </w:pPr>
            <w:r>
              <w:rPr>
                <w:rFonts w:hint="default" w:ascii="Times New Roman" w:hAnsi="Times New Roman" w:eastAsia="仿宋_GB2312" w:cs="Times New Roman"/>
                <w:sz w:val="22"/>
                <w:szCs w:val="22"/>
                <w:vertAlign w:val="baseline"/>
                <w:lang w:eastAsia="zh-CN"/>
              </w:rPr>
              <w:t>鼓励学校、机关食堂、当地餐饮场所优先采购当地农产品，不断带动群众增收。</w:t>
            </w:r>
          </w:p>
        </w:tc>
        <w:tc>
          <w:tcPr>
            <w:tcW w:w="133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何少庸</w:t>
            </w:r>
          </w:p>
        </w:tc>
        <w:tc>
          <w:tcPr>
            <w:tcW w:w="136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教育体育局</w:t>
            </w:r>
          </w:p>
        </w:tc>
        <w:tc>
          <w:tcPr>
            <w:tcW w:w="57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default" w:ascii="Times New Roman" w:hAnsi="Times New Roman" w:eastAsia="仿宋_GB2312" w:cs="Times New Roman"/>
                <w:sz w:val="22"/>
                <w:szCs w:val="22"/>
                <w:vertAlign w:val="baseline"/>
                <w:lang w:eastAsia="zh-CN"/>
              </w:rPr>
            </w:pPr>
          </w:p>
        </w:tc>
        <w:tc>
          <w:tcPr>
            <w:tcW w:w="88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4" w:hRule="atLeast"/>
        </w:trPr>
        <w:tc>
          <w:tcPr>
            <w:tcW w:w="86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Times New Roman" w:hAnsi="Times New Roman" w:eastAsia="仿宋_GB2312" w:cs="Times New Roman"/>
                <w:sz w:val="28"/>
                <w:szCs w:val="28"/>
                <w:vertAlign w:val="baseline"/>
                <w:lang w:val="en-US" w:eastAsia="zh-CN"/>
              </w:rPr>
            </w:pPr>
            <w:r>
              <w:rPr>
                <w:rFonts w:hint="eastAsia" w:ascii="Times New Roman" w:hAnsi="Times New Roman" w:eastAsia="仿宋_GB2312" w:cs="Times New Roman"/>
                <w:sz w:val="28"/>
                <w:szCs w:val="28"/>
                <w:vertAlign w:val="baseline"/>
                <w:lang w:val="en-US" w:eastAsia="zh-CN"/>
              </w:rPr>
              <w:t>23</w:t>
            </w:r>
          </w:p>
        </w:tc>
        <w:tc>
          <w:tcPr>
            <w:tcW w:w="1393"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default" w:ascii="Times New Roman" w:hAnsi="Times New Roman" w:eastAsia="仿宋_GB2312" w:cs="Times New Roman"/>
                <w:sz w:val="22"/>
                <w:szCs w:val="22"/>
                <w:vertAlign w:val="baseline"/>
                <w:lang w:eastAsia="zh-CN"/>
              </w:rPr>
              <w:t>深化农村土地改革</w:t>
            </w:r>
          </w:p>
        </w:tc>
        <w:tc>
          <w:tcPr>
            <w:tcW w:w="384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default" w:ascii="Times New Roman" w:hAnsi="Times New Roman" w:eastAsia="仿宋_GB2312" w:cs="Times New Roman"/>
                <w:sz w:val="22"/>
                <w:szCs w:val="22"/>
                <w:vertAlign w:val="baseline"/>
                <w:lang w:eastAsia="zh-CN"/>
              </w:rPr>
            </w:pPr>
            <w:r>
              <w:rPr>
                <w:rFonts w:hint="default" w:ascii="Times New Roman" w:hAnsi="Times New Roman" w:eastAsia="仿宋_GB2312" w:cs="Times New Roman"/>
                <w:sz w:val="22"/>
                <w:szCs w:val="22"/>
                <w:vertAlign w:val="baseline"/>
                <w:lang w:eastAsia="zh-CN"/>
              </w:rPr>
              <w:t>规范县农村产权流转交易服务中心，建立并完善流转交易规则和监管办法、权益保障、风险防范等各项制度，规范信息发布、价值评估、交易签证、贷款服务等运行机制，依法、自愿、有序地鼓励承包农户通过转让、互换、出租等方式流转承包地。新建农村土地承包经营权股份制改革示范点15个，推进资源变资产、资金变股金、农民变股东。</w:t>
            </w:r>
          </w:p>
        </w:tc>
        <w:tc>
          <w:tcPr>
            <w:tcW w:w="133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何少庸</w:t>
            </w:r>
          </w:p>
        </w:tc>
        <w:tc>
          <w:tcPr>
            <w:tcW w:w="136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农业农村局</w:t>
            </w:r>
          </w:p>
        </w:tc>
        <w:tc>
          <w:tcPr>
            <w:tcW w:w="57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default" w:ascii="Times New Roman" w:hAnsi="Times New Roman" w:eastAsia="仿宋_GB2312" w:cs="Times New Roman"/>
                <w:sz w:val="22"/>
                <w:szCs w:val="22"/>
                <w:vertAlign w:val="baseline"/>
                <w:lang w:eastAsia="zh-CN"/>
              </w:rPr>
            </w:pPr>
          </w:p>
        </w:tc>
        <w:tc>
          <w:tcPr>
            <w:tcW w:w="88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0" w:hRule="atLeast"/>
        </w:trPr>
        <w:tc>
          <w:tcPr>
            <w:tcW w:w="86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Times New Roman" w:hAnsi="Times New Roman" w:eastAsia="仿宋_GB2312" w:cs="Times New Roman"/>
                <w:sz w:val="28"/>
                <w:szCs w:val="28"/>
                <w:vertAlign w:val="baseline"/>
                <w:lang w:val="en-US" w:eastAsia="zh-CN"/>
              </w:rPr>
            </w:pPr>
            <w:r>
              <w:rPr>
                <w:rFonts w:hint="eastAsia" w:ascii="Times New Roman" w:hAnsi="Times New Roman" w:eastAsia="仿宋_GB2312" w:cs="Times New Roman"/>
                <w:sz w:val="28"/>
                <w:szCs w:val="28"/>
                <w:vertAlign w:val="baseline"/>
                <w:lang w:val="en-US" w:eastAsia="zh-CN"/>
              </w:rPr>
              <w:t>24</w:t>
            </w:r>
          </w:p>
        </w:tc>
        <w:tc>
          <w:tcPr>
            <w:tcW w:w="1393"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p>
        </w:tc>
        <w:tc>
          <w:tcPr>
            <w:tcW w:w="384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default" w:ascii="Times New Roman" w:hAnsi="Times New Roman" w:eastAsia="仿宋_GB2312" w:cs="Times New Roman"/>
                <w:sz w:val="22"/>
                <w:szCs w:val="22"/>
                <w:vertAlign w:val="baseline"/>
                <w:lang w:eastAsia="zh-CN"/>
              </w:rPr>
            </w:pPr>
            <w:r>
              <w:rPr>
                <w:rFonts w:hint="default" w:ascii="Times New Roman" w:hAnsi="Times New Roman" w:eastAsia="仿宋_GB2312" w:cs="Times New Roman"/>
                <w:sz w:val="22"/>
                <w:szCs w:val="22"/>
                <w:vertAlign w:val="baseline"/>
                <w:lang w:eastAsia="zh-CN"/>
              </w:rPr>
              <w:t>探索通过创新宅基地退出形式和闲置宅基地统筹利用方式，根据实际情况设定退出补偿标准，用相关政府资金利用引导，鼓励移民搬迁和超面积占用宅基地农户退出宅基地，通过土地整治等方式，建立宅基地资源有偿退出的机制。</w:t>
            </w:r>
          </w:p>
        </w:tc>
        <w:tc>
          <w:tcPr>
            <w:tcW w:w="133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何少庸</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王继讲</w:t>
            </w:r>
          </w:p>
        </w:tc>
        <w:tc>
          <w:tcPr>
            <w:tcW w:w="136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自然资源局</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农业农村局</w:t>
            </w:r>
          </w:p>
        </w:tc>
        <w:tc>
          <w:tcPr>
            <w:tcW w:w="57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default" w:ascii="Times New Roman" w:hAnsi="Times New Roman" w:eastAsia="仿宋_GB2312" w:cs="Times New Roman"/>
                <w:sz w:val="22"/>
                <w:szCs w:val="22"/>
                <w:vertAlign w:val="baseline"/>
                <w:lang w:eastAsia="zh-CN"/>
              </w:rPr>
            </w:pPr>
          </w:p>
        </w:tc>
        <w:tc>
          <w:tcPr>
            <w:tcW w:w="88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7" w:hRule="atLeast"/>
        </w:trPr>
        <w:tc>
          <w:tcPr>
            <w:tcW w:w="86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Times New Roman" w:hAnsi="Times New Roman" w:eastAsia="仿宋_GB2312" w:cs="Times New Roman"/>
                <w:sz w:val="28"/>
                <w:szCs w:val="28"/>
                <w:vertAlign w:val="baseline"/>
                <w:lang w:val="en-US" w:eastAsia="zh-CN"/>
              </w:rPr>
            </w:pPr>
            <w:r>
              <w:rPr>
                <w:rFonts w:hint="eastAsia" w:ascii="Times New Roman" w:hAnsi="Times New Roman" w:eastAsia="仿宋_GB2312" w:cs="Times New Roman"/>
                <w:sz w:val="28"/>
                <w:szCs w:val="28"/>
                <w:vertAlign w:val="baseline"/>
                <w:lang w:val="en-US" w:eastAsia="zh-CN"/>
              </w:rPr>
              <w:t>25</w:t>
            </w:r>
          </w:p>
        </w:tc>
        <w:tc>
          <w:tcPr>
            <w:tcW w:w="1393"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default" w:ascii="Times New Roman" w:hAnsi="Times New Roman" w:eastAsia="仿宋_GB2312" w:cs="Times New Roman"/>
                <w:sz w:val="22"/>
                <w:szCs w:val="22"/>
                <w:vertAlign w:val="baseline"/>
                <w:lang w:eastAsia="zh-CN"/>
              </w:rPr>
              <w:t>深化农村土地改革</w:t>
            </w:r>
          </w:p>
        </w:tc>
        <w:tc>
          <w:tcPr>
            <w:tcW w:w="384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default" w:ascii="Times New Roman" w:hAnsi="Times New Roman" w:eastAsia="仿宋_GB2312" w:cs="Times New Roman"/>
                <w:sz w:val="22"/>
                <w:szCs w:val="22"/>
                <w:vertAlign w:val="baseline"/>
                <w:lang w:eastAsia="zh-CN"/>
              </w:rPr>
            </w:pPr>
            <w:r>
              <w:rPr>
                <w:rFonts w:hint="default" w:ascii="Times New Roman" w:hAnsi="Times New Roman" w:eastAsia="仿宋_GB2312" w:cs="Times New Roman"/>
                <w:sz w:val="22"/>
                <w:szCs w:val="22"/>
                <w:vertAlign w:val="baseline"/>
                <w:lang w:eastAsia="zh-CN"/>
              </w:rPr>
              <w:t>切实保障农户宅基地用益物权，通过开展试点工作，完善农村宅基地制度，稳步推进农民住房财产权抵押、担保、转让。通过集体经营性建设用地出让、租赁、入股等方式，进一步拓宽农民增收渠道，全县宅基地年出租面积达到200亩，宅基地出租收入达到600万元；流转土地面积达到30万亩，土地流转收入达到1亿元。</w:t>
            </w:r>
          </w:p>
        </w:tc>
        <w:tc>
          <w:tcPr>
            <w:tcW w:w="133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何少庸</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王继讲</w:t>
            </w:r>
          </w:p>
        </w:tc>
        <w:tc>
          <w:tcPr>
            <w:tcW w:w="136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自然资源局</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农业农村局</w:t>
            </w:r>
          </w:p>
        </w:tc>
        <w:tc>
          <w:tcPr>
            <w:tcW w:w="57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default" w:ascii="Times New Roman" w:hAnsi="Times New Roman" w:eastAsia="仿宋_GB2312" w:cs="Times New Roman"/>
                <w:sz w:val="22"/>
                <w:szCs w:val="22"/>
                <w:vertAlign w:val="baseline"/>
                <w:lang w:eastAsia="zh-CN"/>
              </w:rPr>
            </w:pPr>
          </w:p>
        </w:tc>
        <w:tc>
          <w:tcPr>
            <w:tcW w:w="88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9" w:hRule="atLeast"/>
        </w:trPr>
        <w:tc>
          <w:tcPr>
            <w:tcW w:w="86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Times New Roman" w:hAnsi="Times New Roman" w:eastAsia="仿宋_GB2312" w:cs="Times New Roman"/>
                <w:sz w:val="28"/>
                <w:szCs w:val="28"/>
                <w:vertAlign w:val="baseline"/>
                <w:lang w:val="en-US" w:eastAsia="zh-CN"/>
              </w:rPr>
            </w:pPr>
            <w:r>
              <w:rPr>
                <w:rFonts w:hint="eastAsia" w:ascii="Times New Roman" w:hAnsi="Times New Roman" w:eastAsia="仿宋_GB2312" w:cs="Times New Roman"/>
                <w:sz w:val="28"/>
                <w:szCs w:val="28"/>
                <w:vertAlign w:val="baseline"/>
                <w:lang w:val="en-US" w:eastAsia="zh-CN"/>
              </w:rPr>
              <w:t>26</w:t>
            </w:r>
          </w:p>
        </w:tc>
        <w:tc>
          <w:tcPr>
            <w:tcW w:w="1393"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p>
        </w:tc>
        <w:tc>
          <w:tcPr>
            <w:tcW w:w="384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default" w:ascii="Times New Roman" w:hAnsi="Times New Roman" w:eastAsia="仿宋_GB2312" w:cs="Times New Roman"/>
                <w:sz w:val="22"/>
                <w:szCs w:val="22"/>
                <w:vertAlign w:val="baseline"/>
                <w:lang w:eastAsia="zh-CN"/>
              </w:rPr>
            </w:pPr>
            <w:r>
              <w:rPr>
                <w:rFonts w:hint="default" w:ascii="Times New Roman" w:hAnsi="Times New Roman" w:eastAsia="仿宋_GB2312" w:cs="Times New Roman"/>
                <w:sz w:val="22"/>
                <w:szCs w:val="22"/>
                <w:vertAlign w:val="baseline"/>
                <w:lang w:eastAsia="zh-CN"/>
              </w:rPr>
              <w:t>积极动员群众流转增收，土地入股村集体经济合作组织、企业、合作社等新型农业经营主体增收，社会化服务组织代耕代种增收，统筹利用撂荒地5万亩，实现收入1000万元。</w:t>
            </w:r>
          </w:p>
        </w:tc>
        <w:tc>
          <w:tcPr>
            <w:tcW w:w="133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何少庸</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王继讲</w:t>
            </w:r>
          </w:p>
        </w:tc>
        <w:tc>
          <w:tcPr>
            <w:tcW w:w="136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自然资源局</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农业农村局</w:t>
            </w:r>
          </w:p>
        </w:tc>
        <w:tc>
          <w:tcPr>
            <w:tcW w:w="57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default" w:ascii="Times New Roman" w:hAnsi="Times New Roman" w:eastAsia="仿宋_GB2312" w:cs="Times New Roman"/>
                <w:sz w:val="22"/>
                <w:szCs w:val="22"/>
                <w:vertAlign w:val="baseline"/>
                <w:lang w:eastAsia="zh-CN"/>
              </w:rPr>
            </w:pPr>
          </w:p>
        </w:tc>
        <w:tc>
          <w:tcPr>
            <w:tcW w:w="88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86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Times New Roman" w:hAnsi="Times New Roman" w:eastAsia="仿宋_GB2312" w:cs="Times New Roman"/>
                <w:sz w:val="28"/>
                <w:szCs w:val="28"/>
                <w:vertAlign w:val="baseline"/>
                <w:lang w:val="en-US" w:eastAsia="zh-CN"/>
              </w:rPr>
            </w:pPr>
            <w:r>
              <w:rPr>
                <w:rFonts w:hint="eastAsia" w:ascii="Times New Roman" w:hAnsi="Times New Roman" w:eastAsia="仿宋_GB2312" w:cs="Times New Roman"/>
                <w:sz w:val="28"/>
                <w:szCs w:val="28"/>
                <w:vertAlign w:val="baseline"/>
                <w:lang w:val="en-US" w:eastAsia="zh-CN"/>
              </w:rPr>
              <w:t>27</w:t>
            </w:r>
          </w:p>
        </w:tc>
        <w:tc>
          <w:tcPr>
            <w:tcW w:w="1393"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default" w:ascii="Times New Roman" w:hAnsi="Times New Roman" w:eastAsia="仿宋_GB2312" w:cs="Times New Roman"/>
                <w:sz w:val="22"/>
                <w:szCs w:val="22"/>
                <w:vertAlign w:val="baseline"/>
                <w:lang w:eastAsia="zh-CN"/>
              </w:rPr>
              <w:t>全面深化“四权”改革</w:t>
            </w:r>
          </w:p>
        </w:tc>
        <w:tc>
          <w:tcPr>
            <w:tcW w:w="384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default" w:ascii="Times New Roman" w:hAnsi="Times New Roman" w:eastAsia="仿宋_GB2312" w:cs="Times New Roman"/>
                <w:sz w:val="22"/>
                <w:szCs w:val="22"/>
                <w:vertAlign w:val="baseline"/>
                <w:lang w:eastAsia="zh-CN"/>
              </w:rPr>
            </w:pPr>
            <w:r>
              <w:rPr>
                <w:rFonts w:hint="default" w:ascii="Times New Roman" w:hAnsi="Times New Roman" w:eastAsia="仿宋_GB2312" w:cs="Times New Roman"/>
                <w:sz w:val="22"/>
                <w:szCs w:val="22"/>
                <w:vertAlign w:val="baseline"/>
                <w:lang w:eastAsia="zh-CN"/>
              </w:rPr>
              <w:t>认真贯彻落实建设黄河流域生态保护和高质量发展先行区第四次推进会议精神，重点抓好水权改革“节水增效”、土地权改革“盘活增值”、排污权改革“降污增益”、山林权改革“增绿植绿”，更大力度释放改革红利，促进城乡居民增收。</w:t>
            </w:r>
          </w:p>
        </w:tc>
        <w:tc>
          <w:tcPr>
            <w:tcW w:w="133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何少庸</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王继讲</w:t>
            </w:r>
          </w:p>
        </w:tc>
        <w:tc>
          <w:tcPr>
            <w:tcW w:w="136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default" w:ascii="Times New Roman" w:hAnsi="Times New Roman" w:eastAsia="仿宋_GB2312" w:cs="Times New Roman"/>
                <w:sz w:val="22"/>
                <w:szCs w:val="22"/>
                <w:vertAlign w:val="baseline"/>
                <w:lang w:eastAsia="zh-CN"/>
              </w:rPr>
              <w:t>水务局</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自然资源局</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default" w:ascii="Times New Roman" w:hAnsi="Times New Roman" w:eastAsia="仿宋_GB2312" w:cs="Times New Roman"/>
                <w:sz w:val="22"/>
                <w:szCs w:val="22"/>
                <w:vertAlign w:val="baseline"/>
                <w:lang w:eastAsia="zh-CN"/>
              </w:rPr>
              <w:t>市生态环境局彭阳分局</w:t>
            </w:r>
          </w:p>
        </w:tc>
        <w:tc>
          <w:tcPr>
            <w:tcW w:w="57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default" w:ascii="Times New Roman" w:hAnsi="Times New Roman" w:eastAsia="仿宋_GB2312" w:cs="Times New Roman"/>
                <w:sz w:val="22"/>
                <w:szCs w:val="22"/>
                <w:vertAlign w:val="baseline"/>
                <w:lang w:eastAsia="zh-CN"/>
              </w:rPr>
            </w:pPr>
          </w:p>
        </w:tc>
        <w:tc>
          <w:tcPr>
            <w:tcW w:w="88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86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Times New Roman" w:hAnsi="Times New Roman" w:eastAsia="仿宋_GB2312" w:cs="Times New Roman"/>
                <w:sz w:val="28"/>
                <w:szCs w:val="28"/>
                <w:vertAlign w:val="baseline"/>
                <w:lang w:val="en-US" w:eastAsia="zh-CN"/>
              </w:rPr>
            </w:pPr>
            <w:r>
              <w:rPr>
                <w:rFonts w:hint="eastAsia" w:ascii="Times New Roman" w:hAnsi="Times New Roman" w:eastAsia="仿宋_GB2312" w:cs="Times New Roman"/>
                <w:sz w:val="28"/>
                <w:szCs w:val="28"/>
                <w:vertAlign w:val="baseline"/>
                <w:lang w:val="en-US" w:eastAsia="zh-CN"/>
              </w:rPr>
              <w:t>28</w:t>
            </w:r>
          </w:p>
        </w:tc>
        <w:tc>
          <w:tcPr>
            <w:tcW w:w="1393"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default" w:ascii="Times New Roman" w:hAnsi="Times New Roman" w:eastAsia="仿宋_GB2312" w:cs="Times New Roman"/>
                <w:sz w:val="22"/>
                <w:szCs w:val="22"/>
                <w:vertAlign w:val="baseline"/>
                <w:lang w:eastAsia="zh-CN"/>
              </w:rPr>
              <w:t>壮大村级集体经济</w:t>
            </w:r>
          </w:p>
        </w:tc>
        <w:tc>
          <w:tcPr>
            <w:tcW w:w="384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default" w:ascii="Times New Roman" w:hAnsi="Times New Roman" w:eastAsia="仿宋_GB2312" w:cs="Times New Roman"/>
                <w:sz w:val="22"/>
                <w:szCs w:val="22"/>
                <w:vertAlign w:val="baseline"/>
                <w:lang w:eastAsia="zh-CN"/>
              </w:rPr>
            </w:pPr>
            <w:r>
              <w:rPr>
                <w:rFonts w:hint="default" w:ascii="Times New Roman" w:hAnsi="Times New Roman" w:eastAsia="仿宋_GB2312" w:cs="Times New Roman"/>
                <w:sz w:val="22"/>
                <w:szCs w:val="22"/>
                <w:vertAlign w:val="baseline"/>
                <w:lang w:eastAsia="zh-CN"/>
              </w:rPr>
              <w:t>严格村集体资金管理和使用，进一步完善村集体经济管理各项制度，出台《彭阳县扶持发展壮大村级集体经济项目管理暂行办法》，管好用活农村集体“三资”，打破靠资源租赁等低层次创收模式，灵活运用光伏产业、电子商务、乡村旅游等发展模式，实施好壮大村集体经济项目，盘活存量资产，挖掘资源性收入、提高经营性收入。到2021年底，打造发展壮大村集体经济示范点10个，村级集体经济收入7万元以上的行政村达到100%，全县实现村级集体收入2000万元以上，当年完成分红800万元。</w:t>
            </w:r>
          </w:p>
        </w:tc>
        <w:tc>
          <w:tcPr>
            <w:tcW w:w="133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何少庸</w:t>
            </w:r>
          </w:p>
        </w:tc>
        <w:tc>
          <w:tcPr>
            <w:tcW w:w="136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default" w:ascii="Times New Roman" w:hAnsi="Times New Roman" w:eastAsia="仿宋_GB2312" w:cs="Times New Roman"/>
                <w:sz w:val="22"/>
                <w:szCs w:val="22"/>
                <w:vertAlign w:val="baseline"/>
                <w:lang w:eastAsia="zh-CN"/>
              </w:rPr>
              <w:t>组织部</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default" w:ascii="Times New Roman" w:hAnsi="Times New Roman" w:eastAsia="仿宋_GB2312" w:cs="Times New Roman"/>
                <w:sz w:val="22"/>
                <w:szCs w:val="22"/>
                <w:vertAlign w:val="baseline"/>
                <w:lang w:eastAsia="zh-CN"/>
              </w:rPr>
              <w:t>农业农村局</w:t>
            </w:r>
          </w:p>
        </w:tc>
        <w:tc>
          <w:tcPr>
            <w:tcW w:w="57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default" w:ascii="Times New Roman" w:hAnsi="Times New Roman" w:eastAsia="仿宋_GB2312" w:cs="Times New Roman"/>
                <w:sz w:val="22"/>
                <w:szCs w:val="22"/>
                <w:vertAlign w:val="baseline"/>
                <w:lang w:eastAsia="zh-CN"/>
              </w:rPr>
            </w:pPr>
          </w:p>
        </w:tc>
        <w:tc>
          <w:tcPr>
            <w:tcW w:w="88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5" w:hRule="atLeast"/>
        </w:trPr>
        <w:tc>
          <w:tcPr>
            <w:tcW w:w="86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Times New Roman" w:hAnsi="Times New Roman" w:eastAsia="仿宋_GB2312" w:cs="Times New Roman"/>
                <w:sz w:val="28"/>
                <w:szCs w:val="28"/>
                <w:vertAlign w:val="baseline"/>
                <w:lang w:val="en-US" w:eastAsia="zh-CN"/>
              </w:rPr>
            </w:pPr>
            <w:r>
              <w:rPr>
                <w:rFonts w:hint="eastAsia" w:ascii="Times New Roman" w:hAnsi="Times New Roman" w:eastAsia="仿宋_GB2312" w:cs="Times New Roman"/>
                <w:sz w:val="28"/>
                <w:szCs w:val="28"/>
                <w:vertAlign w:val="baseline"/>
                <w:lang w:val="en-US" w:eastAsia="zh-CN"/>
              </w:rPr>
              <w:t>29</w:t>
            </w:r>
          </w:p>
        </w:tc>
        <w:tc>
          <w:tcPr>
            <w:tcW w:w="1393"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default" w:ascii="Times New Roman" w:hAnsi="Times New Roman" w:eastAsia="仿宋_GB2312" w:cs="Times New Roman"/>
                <w:sz w:val="22"/>
                <w:szCs w:val="22"/>
                <w:vertAlign w:val="baseline"/>
                <w:lang w:eastAsia="zh-CN"/>
              </w:rPr>
              <w:t>完善房屋交易市场</w:t>
            </w:r>
          </w:p>
        </w:tc>
        <w:tc>
          <w:tcPr>
            <w:tcW w:w="384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default" w:ascii="Times New Roman" w:hAnsi="Times New Roman" w:eastAsia="仿宋_GB2312" w:cs="Times New Roman"/>
                <w:sz w:val="22"/>
                <w:szCs w:val="22"/>
                <w:vertAlign w:val="baseline"/>
                <w:lang w:eastAsia="zh-CN"/>
              </w:rPr>
            </w:pPr>
            <w:r>
              <w:rPr>
                <w:rFonts w:hint="default" w:ascii="Times New Roman" w:hAnsi="Times New Roman" w:eastAsia="仿宋_GB2312" w:cs="Times New Roman"/>
                <w:sz w:val="22"/>
                <w:szCs w:val="22"/>
                <w:vertAlign w:val="baseline"/>
                <w:lang w:eastAsia="zh-CN"/>
              </w:rPr>
              <w:t>严格落实《彭阳县房地产市场“一城一策”调控工作方案》工作要求，增强市场预判性和调控主动性。建成彭阳县住房租赁交易服务平台，实现与固原市住房租赁信息服务监管平台联网并行，利用政府闲置物业、直管公房、老旧社区以及城中村闲置物业等资源，开展住房租赁业务，支持专业化住房租赁机构发展，鼓励机构通过自建、回收、回购、代租等方式筹集租赁住房房源。</w:t>
            </w:r>
          </w:p>
        </w:tc>
        <w:tc>
          <w:tcPr>
            <w:tcW w:w="133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王继讲</w:t>
            </w:r>
          </w:p>
        </w:tc>
        <w:tc>
          <w:tcPr>
            <w:tcW w:w="136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住房城乡建设局</w:t>
            </w:r>
          </w:p>
        </w:tc>
        <w:tc>
          <w:tcPr>
            <w:tcW w:w="57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default" w:ascii="Times New Roman" w:hAnsi="Times New Roman" w:eastAsia="仿宋_GB2312" w:cs="Times New Roman"/>
                <w:sz w:val="22"/>
                <w:szCs w:val="22"/>
                <w:vertAlign w:val="baseline"/>
                <w:lang w:eastAsia="zh-CN"/>
              </w:rPr>
            </w:pPr>
          </w:p>
        </w:tc>
        <w:tc>
          <w:tcPr>
            <w:tcW w:w="88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86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Times New Roman" w:hAnsi="Times New Roman" w:eastAsia="仿宋_GB2312" w:cs="Times New Roman"/>
                <w:sz w:val="28"/>
                <w:szCs w:val="28"/>
                <w:vertAlign w:val="baseline"/>
                <w:lang w:val="en-US" w:eastAsia="zh-CN"/>
              </w:rPr>
            </w:pPr>
            <w:r>
              <w:rPr>
                <w:rFonts w:hint="eastAsia" w:ascii="Times New Roman" w:hAnsi="Times New Roman" w:eastAsia="仿宋_GB2312" w:cs="Times New Roman"/>
                <w:sz w:val="28"/>
                <w:szCs w:val="28"/>
                <w:vertAlign w:val="baseline"/>
                <w:lang w:val="en-US" w:eastAsia="zh-CN"/>
              </w:rPr>
              <w:t>30</w:t>
            </w:r>
          </w:p>
        </w:tc>
        <w:tc>
          <w:tcPr>
            <w:tcW w:w="1393"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default" w:ascii="Times New Roman" w:hAnsi="Times New Roman" w:eastAsia="仿宋_GB2312" w:cs="Times New Roman"/>
                <w:sz w:val="22"/>
                <w:szCs w:val="22"/>
                <w:vertAlign w:val="baseline"/>
                <w:lang w:eastAsia="zh-CN"/>
              </w:rPr>
              <w:t>加强收入保障力度</w:t>
            </w:r>
          </w:p>
        </w:tc>
        <w:tc>
          <w:tcPr>
            <w:tcW w:w="384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default" w:ascii="Times New Roman" w:hAnsi="Times New Roman" w:eastAsia="仿宋_GB2312" w:cs="Times New Roman"/>
                <w:sz w:val="22"/>
                <w:szCs w:val="22"/>
                <w:vertAlign w:val="baseline"/>
                <w:lang w:eastAsia="zh-CN"/>
              </w:rPr>
            </w:pPr>
            <w:r>
              <w:rPr>
                <w:rFonts w:hint="default" w:ascii="Times New Roman" w:hAnsi="Times New Roman" w:eastAsia="仿宋_GB2312" w:cs="Times New Roman"/>
                <w:sz w:val="22"/>
                <w:szCs w:val="22"/>
                <w:vertAlign w:val="baseline"/>
                <w:lang w:eastAsia="zh-CN"/>
              </w:rPr>
              <w:t>建立财政支持城乡融合发展机制，完善地方金融有效监管和金融有效支持实体经济的体制机制，增强重点战略任务财力保障，提升基层公共服务保障能力，2021年新增贷款5亿元</w:t>
            </w:r>
            <w:r>
              <w:rPr>
                <w:rFonts w:hint="eastAsia" w:ascii="Times New Roman" w:hAnsi="Times New Roman" w:eastAsia="仿宋_GB2312" w:cs="Times New Roman"/>
                <w:sz w:val="22"/>
                <w:szCs w:val="22"/>
                <w:vertAlign w:val="baseline"/>
                <w:lang w:eastAsia="zh-CN"/>
              </w:rPr>
              <w:t>。</w:t>
            </w:r>
          </w:p>
        </w:tc>
        <w:tc>
          <w:tcPr>
            <w:tcW w:w="133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何少庸</w:t>
            </w:r>
          </w:p>
        </w:tc>
        <w:tc>
          <w:tcPr>
            <w:tcW w:w="136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金融局</w:t>
            </w:r>
          </w:p>
        </w:tc>
        <w:tc>
          <w:tcPr>
            <w:tcW w:w="57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default" w:ascii="Times New Roman" w:hAnsi="Times New Roman" w:eastAsia="仿宋_GB2312" w:cs="Times New Roman"/>
                <w:sz w:val="22"/>
                <w:szCs w:val="22"/>
                <w:vertAlign w:val="baseline"/>
                <w:lang w:eastAsia="zh-CN"/>
              </w:rPr>
            </w:pPr>
          </w:p>
        </w:tc>
        <w:tc>
          <w:tcPr>
            <w:tcW w:w="88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86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Times New Roman" w:hAnsi="Times New Roman" w:eastAsia="仿宋_GB2312" w:cs="Times New Roman"/>
                <w:sz w:val="28"/>
                <w:szCs w:val="28"/>
                <w:vertAlign w:val="baseline"/>
                <w:lang w:val="en-US" w:eastAsia="zh-CN"/>
              </w:rPr>
            </w:pPr>
            <w:r>
              <w:rPr>
                <w:rFonts w:hint="eastAsia" w:ascii="Times New Roman" w:hAnsi="Times New Roman" w:eastAsia="仿宋_GB2312" w:cs="Times New Roman"/>
                <w:sz w:val="28"/>
                <w:szCs w:val="28"/>
                <w:vertAlign w:val="baseline"/>
                <w:lang w:val="en-US" w:eastAsia="zh-CN"/>
              </w:rPr>
              <w:t>31</w:t>
            </w:r>
          </w:p>
        </w:tc>
        <w:tc>
          <w:tcPr>
            <w:tcW w:w="1393"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p>
        </w:tc>
        <w:tc>
          <w:tcPr>
            <w:tcW w:w="384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default" w:ascii="Times New Roman" w:hAnsi="Times New Roman" w:eastAsia="仿宋_GB2312" w:cs="Times New Roman"/>
                <w:sz w:val="22"/>
                <w:szCs w:val="22"/>
                <w:vertAlign w:val="baseline"/>
                <w:lang w:eastAsia="zh-CN"/>
              </w:rPr>
            </w:pPr>
            <w:r>
              <w:rPr>
                <w:rFonts w:hint="default" w:ascii="Times New Roman" w:hAnsi="Times New Roman" w:eastAsia="仿宋_GB2312" w:cs="Times New Roman"/>
                <w:sz w:val="22"/>
                <w:szCs w:val="22"/>
                <w:vertAlign w:val="baseline"/>
                <w:lang w:eastAsia="zh-CN"/>
              </w:rPr>
              <w:t>每年开展打击非法集资、网络诈骗、“515”防范经济犯罪宣传不少于2次，建立彭阳县反诈联盟工作微信群，每周发布案情通报，转发转载防诈宣传内容，推广国家反诈中心APP，开展电信网络诈骗案件现场勘查声纹应用工作，常态化推进防诈反诈宣传，进一步加强对群众财产的法治保障。</w:t>
            </w:r>
          </w:p>
        </w:tc>
        <w:tc>
          <w:tcPr>
            <w:tcW w:w="133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张</w:t>
            </w:r>
            <w:r>
              <w:rPr>
                <w:rFonts w:hint="eastAsia" w:ascii="Times New Roman" w:hAnsi="Times New Roman" w:eastAsia="仿宋_GB2312" w:cs="Times New Roman"/>
                <w:sz w:val="22"/>
                <w:szCs w:val="22"/>
                <w:vertAlign w:val="baseline"/>
                <w:lang w:val="en-US" w:eastAsia="zh-CN"/>
              </w:rPr>
              <w:t xml:space="preserve">  </w:t>
            </w:r>
            <w:r>
              <w:rPr>
                <w:rFonts w:hint="eastAsia" w:ascii="Times New Roman" w:hAnsi="Times New Roman" w:eastAsia="仿宋_GB2312" w:cs="Times New Roman"/>
                <w:sz w:val="22"/>
                <w:szCs w:val="22"/>
                <w:vertAlign w:val="baseline"/>
                <w:lang w:eastAsia="zh-CN"/>
              </w:rPr>
              <w:t>学</w:t>
            </w:r>
          </w:p>
        </w:tc>
        <w:tc>
          <w:tcPr>
            <w:tcW w:w="136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公安局</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司法局</w:t>
            </w:r>
          </w:p>
        </w:tc>
        <w:tc>
          <w:tcPr>
            <w:tcW w:w="57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default" w:ascii="Times New Roman" w:hAnsi="Times New Roman" w:eastAsia="仿宋_GB2312" w:cs="Times New Roman"/>
                <w:sz w:val="22"/>
                <w:szCs w:val="22"/>
                <w:vertAlign w:val="baseline"/>
                <w:lang w:eastAsia="zh-CN"/>
              </w:rPr>
            </w:pPr>
          </w:p>
        </w:tc>
        <w:tc>
          <w:tcPr>
            <w:tcW w:w="88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86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Times New Roman" w:hAnsi="Times New Roman" w:eastAsia="仿宋_GB2312" w:cs="Times New Roman"/>
                <w:sz w:val="28"/>
                <w:szCs w:val="28"/>
                <w:vertAlign w:val="baseline"/>
                <w:lang w:val="en-US" w:eastAsia="zh-CN"/>
              </w:rPr>
            </w:pPr>
            <w:r>
              <w:rPr>
                <w:rFonts w:hint="eastAsia" w:ascii="Times New Roman" w:hAnsi="Times New Roman" w:eastAsia="仿宋_GB2312" w:cs="Times New Roman"/>
                <w:sz w:val="28"/>
                <w:szCs w:val="28"/>
                <w:vertAlign w:val="baseline"/>
                <w:lang w:val="en-US" w:eastAsia="zh-CN"/>
              </w:rPr>
              <w:t>32</w:t>
            </w:r>
          </w:p>
        </w:tc>
        <w:tc>
          <w:tcPr>
            <w:tcW w:w="1393"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p>
        </w:tc>
        <w:tc>
          <w:tcPr>
            <w:tcW w:w="384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default" w:ascii="Times New Roman" w:hAnsi="Times New Roman" w:eastAsia="仿宋_GB2312" w:cs="Times New Roman"/>
                <w:sz w:val="22"/>
                <w:szCs w:val="22"/>
                <w:vertAlign w:val="baseline"/>
                <w:lang w:eastAsia="zh-CN"/>
              </w:rPr>
            </w:pPr>
            <w:r>
              <w:rPr>
                <w:rFonts w:hint="default" w:ascii="Times New Roman" w:hAnsi="Times New Roman" w:eastAsia="仿宋_GB2312" w:cs="Times New Roman"/>
                <w:sz w:val="22"/>
                <w:szCs w:val="22"/>
                <w:vertAlign w:val="baseline"/>
                <w:lang w:eastAsia="zh-CN"/>
              </w:rPr>
              <w:t>每年深入建筑工地现场向农民工宣传《中华人民共和国劳动法》、保障农民工工资支付、安全生产、法律援助、个人所得税等相关法律法规和政策3次，结合欠薪维权案例以案说法，切实增强用人单位和农民工法律意识。</w:t>
            </w:r>
          </w:p>
        </w:tc>
        <w:tc>
          <w:tcPr>
            <w:tcW w:w="133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马  瑾</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张</w:t>
            </w:r>
            <w:r>
              <w:rPr>
                <w:rFonts w:hint="eastAsia" w:ascii="Times New Roman" w:hAnsi="Times New Roman" w:eastAsia="仿宋_GB2312" w:cs="Times New Roman"/>
                <w:sz w:val="22"/>
                <w:szCs w:val="22"/>
                <w:vertAlign w:val="baseline"/>
                <w:lang w:val="en-US" w:eastAsia="zh-CN"/>
              </w:rPr>
              <w:t xml:space="preserve">  </w:t>
            </w:r>
            <w:r>
              <w:rPr>
                <w:rFonts w:hint="eastAsia" w:ascii="Times New Roman" w:hAnsi="Times New Roman" w:eastAsia="仿宋_GB2312" w:cs="Times New Roman"/>
                <w:sz w:val="22"/>
                <w:szCs w:val="22"/>
                <w:vertAlign w:val="baseline"/>
                <w:lang w:eastAsia="zh-CN"/>
              </w:rPr>
              <w:t>学</w:t>
            </w:r>
          </w:p>
        </w:tc>
        <w:tc>
          <w:tcPr>
            <w:tcW w:w="136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司法局</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人力资源社会保障局</w:t>
            </w:r>
          </w:p>
        </w:tc>
        <w:tc>
          <w:tcPr>
            <w:tcW w:w="57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default" w:ascii="Times New Roman" w:hAnsi="Times New Roman" w:eastAsia="仿宋_GB2312" w:cs="Times New Roman"/>
                <w:sz w:val="22"/>
                <w:szCs w:val="22"/>
                <w:vertAlign w:val="baseline"/>
                <w:lang w:eastAsia="zh-CN"/>
              </w:rPr>
            </w:pPr>
          </w:p>
        </w:tc>
        <w:tc>
          <w:tcPr>
            <w:tcW w:w="88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86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Times New Roman" w:hAnsi="Times New Roman" w:eastAsia="仿宋_GB2312" w:cs="Times New Roman"/>
                <w:sz w:val="28"/>
                <w:szCs w:val="28"/>
                <w:vertAlign w:val="baseline"/>
                <w:lang w:val="en-US" w:eastAsia="zh-CN"/>
              </w:rPr>
            </w:pPr>
            <w:r>
              <w:rPr>
                <w:rFonts w:hint="eastAsia" w:ascii="Times New Roman" w:hAnsi="Times New Roman" w:eastAsia="仿宋_GB2312" w:cs="Times New Roman"/>
                <w:sz w:val="28"/>
                <w:szCs w:val="28"/>
                <w:vertAlign w:val="baseline"/>
                <w:lang w:val="en-US" w:eastAsia="zh-CN"/>
              </w:rPr>
              <w:t>33</w:t>
            </w:r>
          </w:p>
        </w:tc>
        <w:tc>
          <w:tcPr>
            <w:tcW w:w="1393"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default" w:ascii="Times New Roman" w:hAnsi="Times New Roman" w:eastAsia="仿宋_GB2312" w:cs="Times New Roman"/>
                <w:sz w:val="22"/>
                <w:szCs w:val="22"/>
                <w:vertAlign w:val="baseline"/>
                <w:lang w:eastAsia="zh-CN"/>
              </w:rPr>
              <w:t>强化社会保障</w:t>
            </w:r>
          </w:p>
        </w:tc>
        <w:tc>
          <w:tcPr>
            <w:tcW w:w="384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default" w:ascii="Times New Roman" w:hAnsi="Times New Roman" w:eastAsia="仿宋_GB2312" w:cs="Times New Roman"/>
                <w:sz w:val="22"/>
                <w:szCs w:val="22"/>
                <w:vertAlign w:val="baseline"/>
                <w:lang w:eastAsia="zh-CN"/>
              </w:rPr>
            </w:pPr>
            <w:r>
              <w:rPr>
                <w:rFonts w:hint="default" w:ascii="Times New Roman" w:hAnsi="Times New Roman" w:eastAsia="仿宋_GB2312" w:cs="Times New Roman"/>
                <w:sz w:val="22"/>
                <w:szCs w:val="22"/>
                <w:vertAlign w:val="baseline"/>
                <w:lang w:eastAsia="zh-CN"/>
              </w:rPr>
              <w:t>进一步完善城乡居民基本养老保险制度，建立基础养老金正常调整机制，继续落实好被征地农民养老保险政策宣传，城乡居民基本养老保险标准在现有185元的基础上，每两年提高15元</w:t>
            </w:r>
            <w:r>
              <w:rPr>
                <w:rFonts w:hint="eastAsia" w:ascii="Times New Roman" w:hAnsi="Times New Roman" w:eastAsia="仿宋_GB2312" w:cs="Times New Roman"/>
                <w:sz w:val="22"/>
                <w:szCs w:val="22"/>
                <w:vertAlign w:val="baseline"/>
                <w:lang w:eastAsia="zh-CN"/>
              </w:rPr>
              <w:t>。</w:t>
            </w:r>
          </w:p>
        </w:tc>
        <w:tc>
          <w:tcPr>
            <w:tcW w:w="133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马  瑾</w:t>
            </w:r>
          </w:p>
        </w:tc>
        <w:tc>
          <w:tcPr>
            <w:tcW w:w="136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人力资源社会保障局</w:t>
            </w:r>
          </w:p>
        </w:tc>
        <w:tc>
          <w:tcPr>
            <w:tcW w:w="57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default" w:ascii="Times New Roman" w:hAnsi="Times New Roman" w:eastAsia="仿宋_GB2312" w:cs="Times New Roman"/>
                <w:sz w:val="22"/>
                <w:szCs w:val="22"/>
                <w:vertAlign w:val="baseline"/>
                <w:lang w:eastAsia="zh-CN"/>
              </w:rPr>
            </w:pPr>
          </w:p>
        </w:tc>
        <w:tc>
          <w:tcPr>
            <w:tcW w:w="88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86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Times New Roman" w:hAnsi="Times New Roman" w:eastAsia="仿宋_GB2312" w:cs="Times New Roman"/>
                <w:sz w:val="28"/>
                <w:szCs w:val="28"/>
                <w:vertAlign w:val="baseline"/>
                <w:lang w:val="en-US" w:eastAsia="zh-CN"/>
              </w:rPr>
            </w:pPr>
            <w:r>
              <w:rPr>
                <w:rFonts w:hint="eastAsia" w:ascii="Times New Roman" w:hAnsi="Times New Roman" w:eastAsia="仿宋_GB2312" w:cs="Times New Roman"/>
                <w:sz w:val="28"/>
                <w:szCs w:val="28"/>
                <w:vertAlign w:val="baseline"/>
                <w:lang w:val="en-US" w:eastAsia="zh-CN"/>
              </w:rPr>
              <w:t>34</w:t>
            </w:r>
          </w:p>
        </w:tc>
        <w:tc>
          <w:tcPr>
            <w:tcW w:w="1393"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default" w:ascii="Times New Roman" w:hAnsi="Times New Roman" w:eastAsia="仿宋_GB2312" w:cs="Times New Roman"/>
                <w:sz w:val="22"/>
                <w:szCs w:val="22"/>
                <w:vertAlign w:val="baseline"/>
                <w:lang w:eastAsia="zh-CN"/>
              </w:rPr>
              <w:t>强化社会保障</w:t>
            </w:r>
          </w:p>
        </w:tc>
        <w:tc>
          <w:tcPr>
            <w:tcW w:w="384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default" w:ascii="Times New Roman" w:hAnsi="Times New Roman" w:eastAsia="仿宋_GB2312" w:cs="Times New Roman"/>
                <w:sz w:val="22"/>
                <w:szCs w:val="22"/>
                <w:vertAlign w:val="baseline"/>
                <w:lang w:eastAsia="zh-CN"/>
              </w:rPr>
            </w:pPr>
            <w:r>
              <w:rPr>
                <w:rFonts w:hint="default" w:ascii="Times New Roman" w:hAnsi="Times New Roman" w:eastAsia="仿宋_GB2312" w:cs="Times New Roman"/>
                <w:sz w:val="22"/>
                <w:szCs w:val="22"/>
                <w:vertAlign w:val="baseline"/>
                <w:lang w:eastAsia="zh-CN"/>
              </w:rPr>
              <w:t>在重点保障城乡低保对象、特困人员的基础上，形成阶梯式救助模式。强化社会救助兜底保障作用，及时兑现农村低保、特困人员救助、农村困难残疾人补贴等保障资金，及时启动相关价格补贴联动机制，加强对困难群体基本生活保障。</w:t>
            </w:r>
          </w:p>
        </w:tc>
        <w:tc>
          <w:tcPr>
            <w:tcW w:w="133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马  瑾</w:t>
            </w:r>
          </w:p>
        </w:tc>
        <w:tc>
          <w:tcPr>
            <w:tcW w:w="136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民政局</w:t>
            </w:r>
          </w:p>
        </w:tc>
        <w:tc>
          <w:tcPr>
            <w:tcW w:w="57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default" w:ascii="Times New Roman" w:hAnsi="Times New Roman" w:eastAsia="仿宋_GB2312" w:cs="Times New Roman"/>
                <w:sz w:val="22"/>
                <w:szCs w:val="22"/>
                <w:vertAlign w:val="baseline"/>
                <w:lang w:eastAsia="zh-CN"/>
              </w:rPr>
            </w:pPr>
          </w:p>
        </w:tc>
        <w:tc>
          <w:tcPr>
            <w:tcW w:w="88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86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Times New Roman" w:hAnsi="Times New Roman" w:eastAsia="仿宋_GB2312" w:cs="Times New Roman"/>
                <w:sz w:val="28"/>
                <w:szCs w:val="28"/>
                <w:vertAlign w:val="baseline"/>
                <w:lang w:val="en-US" w:eastAsia="zh-CN"/>
              </w:rPr>
            </w:pPr>
            <w:r>
              <w:rPr>
                <w:rFonts w:hint="eastAsia" w:ascii="Times New Roman" w:hAnsi="Times New Roman" w:eastAsia="仿宋_GB2312" w:cs="Times New Roman"/>
                <w:sz w:val="28"/>
                <w:szCs w:val="28"/>
                <w:vertAlign w:val="baseline"/>
                <w:lang w:val="en-US" w:eastAsia="zh-CN"/>
              </w:rPr>
              <w:t>35</w:t>
            </w:r>
          </w:p>
        </w:tc>
        <w:tc>
          <w:tcPr>
            <w:tcW w:w="1393"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p>
        </w:tc>
        <w:tc>
          <w:tcPr>
            <w:tcW w:w="384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default" w:ascii="Times New Roman" w:hAnsi="Times New Roman" w:eastAsia="仿宋_GB2312" w:cs="Times New Roman"/>
                <w:sz w:val="22"/>
                <w:szCs w:val="22"/>
                <w:vertAlign w:val="baseline"/>
                <w:lang w:eastAsia="zh-CN"/>
              </w:rPr>
            </w:pPr>
            <w:r>
              <w:rPr>
                <w:rFonts w:hint="default" w:ascii="Times New Roman" w:hAnsi="Times New Roman" w:eastAsia="仿宋_GB2312" w:cs="Times New Roman"/>
                <w:sz w:val="22"/>
                <w:szCs w:val="22"/>
                <w:vertAlign w:val="baseline"/>
                <w:lang w:eastAsia="zh-CN"/>
              </w:rPr>
              <w:t>充分发挥各级工会帮困解难作用，准确掌握困难职工群体规模、分布、就业、收入等情况，扎实开展困难职工建档立卡工作，对全县建档困难职工，按期发放救助金，跟进完成自治区安排救助困难职工。</w:t>
            </w:r>
          </w:p>
        </w:tc>
        <w:tc>
          <w:tcPr>
            <w:tcW w:w="133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马  瑾</w:t>
            </w:r>
          </w:p>
        </w:tc>
        <w:tc>
          <w:tcPr>
            <w:tcW w:w="136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总工会</w:t>
            </w:r>
          </w:p>
        </w:tc>
        <w:tc>
          <w:tcPr>
            <w:tcW w:w="57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default" w:ascii="Times New Roman" w:hAnsi="Times New Roman" w:eastAsia="仿宋_GB2312" w:cs="Times New Roman"/>
                <w:sz w:val="22"/>
                <w:szCs w:val="22"/>
                <w:vertAlign w:val="baseline"/>
                <w:lang w:eastAsia="zh-CN"/>
              </w:rPr>
            </w:pPr>
          </w:p>
        </w:tc>
        <w:tc>
          <w:tcPr>
            <w:tcW w:w="88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86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Times New Roman" w:hAnsi="Times New Roman" w:eastAsia="仿宋_GB2312" w:cs="Times New Roman"/>
                <w:sz w:val="28"/>
                <w:szCs w:val="28"/>
                <w:vertAlign w:val="baseline"/>
                <w:lang w:val="en-US" w:eastAsia="zh-CN"/>
              </w:rPr>
            </w:pPr>
            <w:r>
              <w:rPr>
                <w:rFonts w:hint="eastAsia" w:ascii="Times New Roman" w:hAnsi="Times New Roman" w:eastAsia="仿宋_GB2312" w:cs="Times New Roman"/>
                <w:sz w:val="28"/>
                <w:szCs w:val="28"/>
                <w:vertAlign w:val="baseline"/>
                <w:lang w:val="en-US" w:eastAsia="zh-CN"/>
              </w:rPr>
              <w:t>36</w:t>
            </w:r>
          </w:p>
        </w:tc>
        <w:tc>
          <w:tcPr>
            <w:tcW w:w="1393"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p>
        </w:tc>
        <w:tc>
          <w:tcPr>
            <w:tcW w:w="384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default" w:ascii="Times New Roman" w:hAnsi="Times New Roman" w:eastAsia="仿宋_GB2312" w:cs="Times New Roman"/>
                <w:sz w:val="22"/>
                <w:szCs w:val="22"/>
                <w:vertAlign w:val="baseline"/>
                <w:lang w:eastAsia="zh-CN"/>
              </w:rPr>
            </w:pPr>
            <w:r>
              <w:rPr>
                <w:rFonts w:hint="default" w:ascii="Times New Roman" w:hAnsi="Times New Roman" w:eastAsia="仿宋_GB2312" w:cs="Times New Roman"/>
                <w:sz w:val="22"/>
                <w:szCs w:val="22"/>
                <w:vertAlign w:val="baseline"/>
                <w:lang w:eastAsia="zh-CN"/>
              </w:rPr>
              <w:t>严格落实“一个平台+三色预警+五步监测+八项帮扶”防返贫监测预警精准帮扶机制，对“两类人口”精准落实产业发展、金融扶持、技能培训、就业补助、移民后续扶持发展等帮扶措施，不断提升帮扶实效。</w:t>
            </w:r>
          </w:p>
        </w:tc>
        <w:tc>
          <w:tcPr>
            <w:tcW w:w="133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马  瑾</w:t>
            </w:r>
          </w:p>
        </w:tc>
        <w:tc>
          <w:tcPr>
            <w:tcW w:w="136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乡村振兴局</w:t>
            </w:r>
          </w:p>
        </w:tc>
        <w:tc>
          <w:tcPr>
            <w:tcW w:w="57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default" w:ascii="Times New Roman" w:hAnsi="Times New Roman" w:eastAsia="仿宋_GB2312" w:cs="Times New Roman"/>
                <w:sz w:val="22"/>
                <w:szCs w:val="22"/>
                <w:vertAlign w:val="baseline"/>
                <w:lang w:eastAsia="zh-CN"/>
              </w:rPr>
            </w:pPr>
          </w:p>
        </w:tc>
        <w:tc>
          <w:tcPr>
            <w:tcW w:w="88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6" w:hRule="atLeast"/>
        </w:trPr>
        <w:tc>
          <w:tcPr>
            <w:tcW w:w="86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Times New Roman" w:hAnsi="Times New Roman" w:eastAsia="仿宋_GB2312" w:cs="Times New Roman"/>
                <w:sz w:val="28"/>
                <w:szCs w:val="28"/>
                <w:vertAlign w:val="baseline"/>
                <w:lang w:val="en-US" w:eastAsia="zh-CN"/>
              </w:rPr>
            </w:pPr>
            <w:r>
              <w:rPr>
                <w:rFonts w:hint="eastAsia" w:ascii="Times New Roman" w:hAnsi="Times New Roman" w:eastAsia="仿宋_GB2312" w:cs="Times New Roman"/>
                <w:sz w:val="28"/>
                <w:szCs w:val="28"/>
                <w:vertAlign w:val="baseline"/>
                <w:lang w:val="en-US" w:eastAsia="zh-CN"/>
              </w:rPr>
              <w:t>37</w:t>
            </w:r>
          </w:p>
        </w:tc>
        <w:tc>
          <w:tcPr>
            <w:tcW w:w="1393"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default" w:ascii="Times New Roman" w:hAnsi="Times New Roman" w:eastAsia="仿宋_GB2312" w:cs="Times New Roman"/>
                <w:sz w:val="22"/>
                <w:szCs w:val="22"/>
                <w:vertAlign w:val="baseline"/>
                <w:lang w:eastAsia="zh-CN"/>
              </w:rPr>
              <w:t>兑现惠农补贴</w:t>
            </w:r>
          </w:p>
        </w:tc>
        <w:tc>
          <w:tcPr>
            <w:tcW w:w="384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default" w:ascii="Times New Roman" w:hAnsi="Times New Roman" w:eastAsia="仿宋_GB2312" w:cs="Times New Roman"/>
                <w:sz w:val="22"/>
                <w:szCs w:val="22"/>
                <w:vertAlign w:val="baseline"/>
                <w:lang w:eastAsia="zh-CN"/>
              </w:rPr>
            </w:pPr>
            <w:r>
              <w:rPr>
                <w:rFonts w:hint="default" w:ascii="Times New Roman" w:hAnsi="Times New Roman" w:eastAsia="仿宋_GB2312" w:cs="Times New Roman"/>
                <w:sz w:val="22"/>
                <w:szCs w:val="22"/>
                <w:vertAlign w:val="baseline"/>
                <w:lang w:eastAsia="zh-CN"/>
              </w:rPr>
              <w:t>加大乡村干部培训力度，实现乡村干部政策学习培训全覆盖，年开展政策培训宣讲活动不少于2次，群众政策知晓率达到100%。</w:t>
            </w:r>
          </w:p>
        </w:tc>
        <w:tc>
          <w:tcPr>
            <w:tcW w:w="133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何少庸</w:t>
            </w:r>
          </w:p>
        </w:tc>
        <w:tc>
          <w:tcPr>
            <w:tcW w:w="136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组织部</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农业农村局</w:t>
            </w:r>
          </w:p>
        </w:tc>
        <w:tc>
          <w:tcPr>
            <w:tcW w:w="57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default" w:ascii="Times New Roman" w:hAnsi="Times New Roman" w:eastAsia="仿宋_GB2312" w:cs="Times New Roman"/>
                <w:sz w:val="22"/>
                <w:szCs w:val="22"/>
                <w:vertAlign w:val="baseline"/>
                <w:lang w:eastAsia="zh-CN"/>
              </w:rPr>
            </w:pPr>
          </w:p>
        </w:tc>
        <w:tc>
          <w:tcPr>
            <w:tcW w:w="88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86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Times New Roman" w:hAnsi="Times New Roman" w:eastAsia="仿宋_GB2312" w:cs="Times New Roman"/>
                <w:sz w:val="28"/>
                <w:szCs w:val="28"/>
                <w:vertAlign w:val="baseline"/>
                <w:lang w:val="en-US" w:eastAsia="zh-CN"/>
              </w:rPr>
            </w:pPr>
            <w:r>
              <w:rPr>
                <w:rFonts w:hint="eastAsia" w:ascii="Times New Roman" w:hAnsi="Times New Roman" w:eastAsia="仿宋_GB2312" w:cs="Times New Roman"/>
                <w:sz w:val="28"/>
                <w:szCs w:val="28"/>
                <w:vertAlign w:val="baseline"/>
                <w:lang w:val="en-US" w:eastAsia="zh-CN"/>
              </w:rPr>
              <w:t>38</w:t>
            </w:r>
          </w:p>
        </w:tc>
        <w:tc>
          <w:tcPr>
            <w:tcW w:w="1393"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default" w:ascii="Times New Roman" w:hAnsi="Times New Roman" w:eastAsia="仿宋_GB2312" w:cs="Times New Roman"/>
                <w:sz w:val="22"/>
                <w:szCs w:val="22"/>
                <w:vertAlign w:val="baseline"/>
                <w:lang w:eastAsia="zh-CN"/>
              </w:rPr>
              <w:t>兑现惠农补贴</w:t>
            </w:r>
          </w:p>
        </w:tc>
        <w:tc>
          <w:tcPr>
            <w:tcW w:w="384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default" w:ascii="Times New Roman" w:hAnsi="Times New Roman" w:eastAsia="仿宋_GB2312" w:cs="Times New Roman"/>
                <w:sz w:val="22"/>
                <w:szCs w:val="22"/>
                <w:vertAlign w:val="baseline"/>
                <w:lang w:eastAsia="zh-CN"/>
              </w:rPr>
            </w:pPr>
            <w:r>
              <w:rPr>
                <w:rFonts w:hint="default" w:ascii="Times New Roman" w:hAnsi="Times New Roman" w:eastAsia="仿宋_GB2312" w:cs="Times New Roman"/>
                <w:sz w:val="22"/>
                <w:szCs w:val="22"/>
                <w:vertAlign w:val="baseline"/>
                <w:lang w:eastAsia="zh-CN"/>
              </w:rPr>
              <w:t>加大对“三农”投入力度，深化涉农资金统筹整合，建立产业到户项目“443”监管机制，实施全面验收、全过程跟踪、全方位公开，主动接受全社会监督，坚持做到同步启动验收、同步签字确认、同步公开公示、同步核查认定，确保及时足额发放退耕还林、草原奖补、耕地地力保护补贴、产业奖补等惠农补贴。</w:t>
            </w:r>
          </w:p>
        </w:tc>
        <w:tc>
          <w:tcPr>
            <w:tcW w:w="133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何少庸</w:t>
            </w:r>
          </w:p>
        </w:tc>
        <w:tc>
          <w:tcPr>
            <w:tcW w:w="136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财政局</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乡村振兴局</w:t>
            </w:r>
          </w:p>
        </w:tc>
        <w:tc>
          <w:tcPr>
            <w:tcW w:w="57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default" w:ascii="Times New Roman" w:hAnsi="Times New Roman" w:eastAsia="仿宋_GB2312" w:cs="Times New Roman"/>
                <w:sz w:val="22"/>
                <w:szCs w:val="22"/>
                <w:vertAlign w:val="baseline"/>
                <w:lang w:eastAsia="zh-CN"/>
              </w:rPr>
            </w:pPr>
          </w:p>
        </w:tc>
        <w:tc>
          <w:tcPr>
            <w:tcW w:w="88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86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Times New Roman" w:hAnsi="Times New Roman" w:eastAsia="仿宋_GB2312" w:cs="Times New Roman"/>
                <w:sz w:val="28"/>
                <w:szCs w:val="28"/>
                <w:vertAlign w:val="baseline"/>
                <w:lang w:val="en-US" w:eastAsia="zh-CN"/>
              </w:rPr>
            </w:pPr>
            <w:r>
              <w:rPr>
                <w:rFonts w:hint="eastAsia" w:ascii="Times New Roman" w:hAnsi="Times New Roman" w:eastAsia="仿宋_GB2312" w:cs="Times New Roman"/>
                <w:sz w:val="28"/>
                <w:szCs w:val="28"/>
                <w:vertAlign w:val="baseline"/>
                <w:lang w:val="en-US" w:eastAsia="zh-CN"/>
              </w:rPr>
              <w:t>39</w:t>
            </w:r>
          </w:p>
        </w:tc>
        <w:tc>
          <w:tcPr>
            <w:tcW w:w="1393"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p>
        </w:tc>
        <w:tc>
          <w:tcPr>
            <w:tcW w:w="384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default" w:ascii="Times New Roman" w:hAnsi="Times New Roman" w:eastAsia="仿宋_GB2312" w:cs="Times New Roman"/>
                <w:sz w:val="22"/>
                <w:szCs w:val="22"/>
                <w:vertAlign w:val="baseline"/>
                <w:lang w:eastAsia="zh-CN"/>
              </w:rPr>
            </w:pPr>
            <w:r>
              <w:rPr>
                <w:rFonts w:hint="default" w:ascii="Times New Roman" w:hAnsi="Times New Roman" w:eastAsia="仿宋_GB2312" w:cs="Times New Roman"/>
                <w:sz w:val="22"/>
                <w:szCs w:val="22"/>
                <w:vertAlign w:val="baseline"/>
                <w:lang w:eastAsia="zh-CN"/>
              </w:rPr>
              <w:t>探索建立农产品价格保险，进一步提高农业抗风险能力，切实保障农民收益。</w:t>
            </w:r>
          </w:p>
        </w:tc>
        <w:tc>
          <w:tcPr>
            <w:tcW w:w="133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何少庸</w:t>
            </w:r>
          </w:p>
        </w:tc>
        <w:tc>
          <w:tcPr>
            <w:tcW w:w="136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金融局</w:t>
            </w:r>
          </w:p>
        </w:tc>
        <w:tc>
          <w:tcPr>
            <w:tcW w:w="57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default" w:ascii="Times New Roman" w:hAnsi="Times New Roman" w:eastAsia="仿宋_GB2312" w:cs="Times New Roman"/>
                <w:sz w:val="22"/>
                <w:szCs w:val="22"/>
                <w:vertAlign w:val="baseline"/>
                <w:lang w:eastAsia="zh-CN"/>
              </w:rPr>
            </w:pPr>
          </w:p>
        </w:tc>
        <w:tc>
          <w:tcPr>
            <w:tcW w:w="88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8" w:hRule="atLeast"/>
        </w:trPr>
        <w:tc>
          <w:tcPr>
            <w:tcW w:w="86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Times New Roman" w:hAnsi="Times New Roman" w:eastAsia="仿宋_GB2312" w:cs="Times New Roman"/>
                <w:sz w:val="28"/>
                <w:szCs w:val="28"/>
                <w:vertAlign w:val="baseline"/>
                <w:lang w:val="en-US" w:eastAsia="zh-CN"/>
              </w:rPr>
            </w:pPr>
            <w:r>
              <w:rPr>
                <w:rFonts w:hint="eastAsia" w:ascii="Times New Roman" w:hAnsi="Times New Roman" w:eastAsia="仿宋_GB2312" w:cs="Times New Roman"/>
                <w:sz w:val="28"/>
                <w:szCs w:val="28"/>
                <w:vertAlign w:val="baseline"/>
                <w:lang w:val="en-US" w:eastAsia="zh-CN"/>
              </w:rPr>
              <w:t>40</w:t>
            </w:r>
          </w:p>
        </w:tc>
        <w:tc>
          <w:tcPr>
            <w:tcW w:w="1393"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default" w:ascii="Times New Roman" w:hAnsi="Times New Roman" w:eastAsia="仿宋_GB2312" w:cs="Times New Roman"/>
                <w:sz w:val="22"/>
                <w:szCs w:val="22"/>
                <w:vertAlign w:val="baseline"/>
                <w:lang w:eastAsia="zh-CN"/>
              </w:rPr>
              <w:t>节约群众支出</w:t>
            </w:r>
          </w:p>
        </w:tc>
        <w:tc>
          <w:tcPr>
            <w:tcW w:w="384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default" w:ascii="Times New Roman" w:hAnsi="Times New Roman" w:eastAsia="仿宋_GB2312" w:cs="Times New Roman"/>
                <w:sz w:val="22"/>
                <w:szCs w:val="22"/>
                <w:vertAlign w:val="baseline"/>
                <w:lang w:eastAsia="zh-CN"/>
              </w:rPr>
            </w:pPr>
            <w:r>
              <w:rPr>
                <w:rFonts w:hint="default" w:ascii="Times New Roman" w:hAnsi="Times New Roman" w:eastAsia="仿宋_GB2312" w:cs="Times New Roman"/>
                <w:sz w:val="22"/>
                <w:szCs w:val="22"/>
                <w:vertAlign w:val="baseline"/>
                <w:lang w:eastAsia="zh-CN"/>
              </w:rPr>
              <w:t>加快推进城乡客运“一体化”、“四好农村路”建设，打造以县汽车站为中心，红河、新集等乡镇客运站为节点的城乡客运服务体系，推动乡村公路向进村入户倾斜，降低群众出行成本。</w:t>
            </w:r>
          </w:p>
        </w:tc>
        <w:tc>
          <w:tcPr>
            <w:tcW w:w="133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王继讲</w:t>
            </w:r>
          </w:p>
        </w:tc>
        <w:tc>
          <w:tcPr>
            <w:tcW w:w="136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交通运输局</w:t>
            </w:r>
          </w:p>
        </w:tc>
        <w:tc>
          <w:tcPr>
            <w:tcW w:w="57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default" w:ascii="Times New Roman" w:hAnsi="Times New Roman" w:eastAsia="仿宋_GB2312" w:cs="Times New Roman"/>
                <w:sz w:val="22"/>
                <w:szCs w:val="22"/>
                <w:vertAlign w:val="baseline"/>
                <w:lang w:eastAsia="zh-CN"/>
              </w:rPr>
            </w:pPr>
          </w:p>
        </w:tc>
        <w:tc>
          <w:tcPr>
            <w:tcW w:w="88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2" w:hRule="atLeast"/>
        </w:trPr>
        <w:tc>
          <w:tcPr>
            <w:tcW w:w="86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Times New Roman" w:hAnsi="Times New Roman" w:eastAsia="仿宋_GB2312" w:cs="Times New Roman"/>
                <w:sz w:val="28"/>
                <w:szCs w:val="28"/>
                <w:vertAlign w:val="baseline"/>
                <w:lang w:val="en-US" w:eastAsia="zh-CN"/>
              </w:rPr>
            </w:pPr>
            <w:r>
              <w:rPr>
                <w:rFonts w:hint="eastAsia" w:ascii="Times New Roman" w:hAnsi="Times New Roman" w:eastAsia="仿宋_GB2312" w:cs="Times New Roman"/>
                <w:sz w:val="28"/>
                <w:szCs w:val="28"/>
                <w:vertAlign w:val="baseline"/>
                <w:lang w:val="en-US" w:eastAsia="zh-CN"/>
              </w:rPr>
              <w:t>41</w:t>
            </w:r>
          </w:p>
        </w:tc>
        <w:tc>
          <w:tcPr>
            <w:tcW w:w="1393"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p>
        </w:tc>
        <w:tc>
          <w:tcPr>
            <w:tcW w:w="384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default" w:ascii="Times New Roman" w:hAnsi="Times New Roman" w:eastAsia="仿宋_GB2312" w:cs="Times New Roman"/>
                <w:sz w:val="22"/>
                <w:szCs w:val="22"/>
                <w:vertAlign w:val="baseline"/>
                <w:lang w:eastAsia="zh-CN"/>
              </w:rPr>
            </w:pPr>
            <w:r>
              <w:rPr>
                <w:rFonts w:hint="default" w:ascii="Times New Roman" w:hAnsi="Times New Roman" w:eastAsia="仿宋_GB2312" w:cs="Times New Roman"/>
                <w:sz w:val="22"/>
                <w:szCs w:val="22"/>
                <w:vertAlign w:val="baseline"/>
                <w:lang w:eastAsia="zh-CN"/>
              </w:rPr>
              <w:t>深入推进“互联网+医疗”“互联网+政务服务”“互联网+城乡供水”等数字化政府建设，实现所有行政村“家门口服务站”、医疗报销、用水购水等便民业务全覆盖。</w:t>
            </w:r>
          </w:p>
        </w:tc>
        <w:tc>
          <w:tcPr>
            <w:tcW w:w="133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何少庸</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荆瑞芳</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王志会</w:t>
            </w:r>
          </w:p>
        </w:tc>
        <w:tc>
          <w:tcPr>
            <w:tcW w:w="136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水务局</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卫生健康局</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审批局</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医保局</w:t>
            </w:r>
          </w:p>
        </w:tc>
        <w:tc>
          <w:tcPr>
            <w:tcW w:w="57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default" w:ascii="Times New Roman" w:hAnsi="Times New Roman" w:eastAsia="仿宋_GB2312" w:cs="Times New Roman"/>
                <w:sz w:val="22"/>
                <w:szCs w:val="22"/>
                <w:vertAlign w:val="baseline"/>
                <w:lang w:eastAsia="zh-CN"/>
              </w:rPr>
            </w:pPr>
          </w:p>
        </w:tc>
        <w:tc>
          <w:tcPr>
            <w:tcW w:w="88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86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Times New Roman" w:hAnsi="Times New Roman" w:eastAsia="仿宋_GB2312" w:cs="Times New Roman"/>
                <w:sz w:val="28"/>
                <w:szCs w:val="28"/>
                <w:vertAlign w:val="baseline"/>
                <w:lang w:val="en-US" w:eastAsia="zh-CN"/>
              </w:rPr>
            </w:pPr>
            <w:r>
              <w:rPr>
                <w:rFonts w:hint="eastAsia" w:ascii="Times New Roman" w:hAnsi="Times New Roman" w:eastAsia="仿宋_GB2312" w:cs="Times New Roman"/>
                <w:sz w:val="28"/>
                <w:szCs w:val="28"/>
                <w:vertAlign w:val="baseline"/>
                <w:lang w:val="en-US" w:eastAsia="zh-CN"/>
              </w:rPr>
              <w:t>42</w:t>
            </w:r>
          </w:p>
        </w:tc>
        <w:tc>
          <w:tcPr>
            <w:tcW w:w="1393"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default" w:ascii="Times New Roman" w:hAnsi="Times New Roman" w:eastAsia="仿宋_GB2312" w:cs="Times New Roman"/>
                <w:sz w:val="22"/>
                <w:szCs w:val="22"/>
                <w:vertAlign w:val="baseline"/>
                <w:lang w:eastAsia="zh-CN"/>
              </w:rPr>
              <w:t>节约群众支出</w:t>
            </w:r>
          </w:p>
        </w:tc>
        <w:tc>
          <w:tcPr>
            <w:tcW w:w="384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default" w:ascii="Times New Roman" w:hAnsi="Times New Roman" w:eastAsia="仿宋_GB2312" w:cs="Times New Roman"/>
                <w:sz w:val="22"/>
                <w:szCs w:val="22"/>
                <w:vertAlign w:val="baseline"/>
                <w:lang w:eastAsia="zh-CN"/>
              </w:rPr>
            </w:pPr>
            <w:r>
              <w:rPr>
                <w:rFonts w:hint="default" w:ascii="Times New Roman" w:hAnsi="Times New Roman" w:eastAsia="仿宋_GB2312" w:cs="Times New Roman"/>
                <w:sz w:val="22"/>
                <w:szCs w:val="22"/>
                <w:vertAlign w:val="baseline"/>
                <w:lang w:eastAsia="zh-CN"/>
              </w:rPr>
              <w:t>引导群众树立健康生活理念，全面推进健康知识“五进”、“健康细胞”、爱国卫生创建等活动。实施乡村卫生院远程诊疗试点，开展常住户健康筛查，建立地方病和慢性病台账，由基层医务人员定期入户开展医疗服务，逐步实现由“治已病”向“防未病”转变，降低群众医疗成本。</w:t>
            </w:r>
          </w:p>
        </w:tc>
        <w:tc>
          <w:tcPr>
            <w:tcW w:w="133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荆瑞芳</w:t>
            </w:r>
          </w:p>
        </w:tc>
        <w:tc>
          <w:tcPr>
            <w:tcW w:w="136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卫生健康局</w:t>
            </w:r>
          </w:p>
        </w:tc>
        <w:tc>
          <w:tcPr>
            <w:tcW w:w="57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default" w:ascii="Times New Roman" w:hAnsi="Times New Roman" w:eastAsia="仿宋_GB2312" w:cs="Times New Roman"/>
                <w:sz w:val="22"/>
                <w:szCs w:val="22"/>
                <w:vertAlign w:val="baseline"/>
                <w:lang w:eastAsia="zh-CN"/>
              </w:rPr>
            </w:pPr>
          </w:p>
        </w:tc>
        <w:tc>
          <w:tcPr>
            <w:tcW w:w="88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86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Times New Roman" w:hAnsi="Times New Roman" w:eastAsia="仿宋_GB2312" w:cs="Times New Roman"/>
                <w:sz w:val="28"/>
                <w:szCs w:val="28"/>
                <w:vertAlign w:val="baseline"/>
                <w:lang w:val="en-US" w:eastAsia="zh-CN"/>
              </w:rPr>
            </w:pPr>
            <w:r>
              <w:rPr>
                <w:rFonts w:hint="eastAsia" w:ascii="Times New Roman" w:hAnsi="Times New Roman" w:eastAsia="仿宋_GB2312" w:cs="Times New Roman"/>
                <w:sz w:val="28"/>
                <w:szCs w:val="28"/>
                <w:vertAlign w:val="baseline"/>
                <w:lang w:val="en-US" w:eastAsia="zh-CN"/>
              </w:rPr>
              <w:t>43</w:t>
            </w:r>
          </w:p>
        </w:tc>
        <w:tc>
          <w:tcPr>
            <w:tcW w:w="1393"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p>
        </w:tc>
        <w:tc>
          <w:tcPr>
            <w:tcW w:w="384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default" w:ascii="Times New Roman" w:hAnsi="Times New Roman" w:eastAsia="仿宋_GB2312" w:cs="Times New Roman"/>
                <w:sz w:val="22"/>
                <w:szCs w:val="22"/>
                <w:vertAlign w:val="baseline"/>
                <w:lang w:eastAsia="zh-CN"/>
              </w:rPr>
            </w:pPr>
            <w:r>
              <w:rPr>
                <w:rFonts w:hint="default" w:ascii="Times New Roman" w:hAnsi="Times New Roman" w:eastAsia="仿宋_GB2312" w:cs="Times New Roman"/>
                <w:sz w:val="22"/>
                <w:szCs w:val="22"/>
                <w:vertAlign w:val="baseline"/>
                <w:lang w:eastAsia="zh-CN"/>
              </w:rPr>
              <w:t>认真落实“两免一补”、大学生无息贷款等一揽子惠民利民政策，积极引导社会群体、公益性组织、企业加强对困难学生家庭的资助力度，继续向符合条件的监测对象家庭安排“雨露计划”补助。</w:t>
            </w:r>
          </w:p>
        </w:tc>
        <w:tc>
          <w:tcPr>
            <w:tcW w:w="133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何少庸</w:t>
            </w:r>
          </w:p>
        </w:tc>
        <w:tc>
          <w:tcPr>
            <w:tcW w:w="136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教育体育局</w:t>
            </w:r>
          </w:p>
        </w:tc>
        <w:tc>
          <w:tcPr>
            <w:tcW w:w="57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default" w:ascii="Times New Roman" w:hAnsi="Times New Roman" w:eastAsia="仿宋_GB2312" w:cs="Times New Roman"/>
                <w:sz w:val="22"/>
                <w:szCs w:val="22"/>
                <w:vertAlign w:val="baseline"/>
                <w:lang w:eastAsia="zh-CN"/>
              </w:rPr>
            </w:pPr>
          </w:p>
        </w:tc>
        <w:tc>
          <w:tcPr>
            <w:tcW w:w="88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86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Times New Roman" w:hAnsi="Times New Roman" w:eastAsia="仿宋_GB2312" w:cs="Times New Roman"/>
                <w:sz w:val="28"/>
                <w:szCs w:val="28"/>
                <w:vertAlign w:val="baseline"/>
                <w:lang w:val="en-US" w:eastAsia="zh-CN"/>
              </w:rPr>
            </w:pPr>
            <w:r>
              <w:rPr>
                <w:rFonts w:hint="eastAsia" w:ascii="Times New Roman" w:hAnsi="Times New Roman" w:eastAsia="仿宋_GB2312" w:cs="Times New Roman"/>
                <w:sz w:val="28"/>
                <w:szCs w:val="28"/>
                <w:vertAlign w:val="baseline"/>
                <w:lang w:val="en-US" w:eastAsia="zh-CN"/>
              </w:rPr>
              <w:t>44</w:t>
            </w:r>
          </w:p>
        </w:tc>
        <w:tc>
          <w:tcPr>
            <w:tcW w:w="1393"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p>
        </w:tc>
        <w:tc>
          <w:tcPr>
            <w:tcW w:w="384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default" w:ascii="Times New Roman" w:hAnsi="Times New Roman" w:eastAsia="仿宋_GB2312" w:cs="Times New Roman"/>
                <w:sz w:val="22"/>
                <w:szCs w:val="22"/>
                <w:vertAlign w:val="baseline"/>
                <w:lang w:eastAsia="zh-CN"/>
              </w:rPr>
            </w:pPr>
            <w:r>
              <w:rPr>
                <w:rFonts w:hint="default" w:ascii="Times New Roman" w:hAnsi="Times New Roman" w:eastAsia="仿宋_GB2312" w:cs="Times New Roman"/>
                <w:sz w:val="22"/>
                <w:szCs w:val="22"/>
                <w:vertAlign w:val="baseline"/>
                <w:lang w:eastAsia="zh-CN"/>
              </w:rPr>
              <w:t>持续推进移风易俗，发挥“一约四会”作用，选树一批移风易俗示范村、模范户，坚决遏制农村高额彩礼、大操大办、铺张浪费、薄养厚葬等陈规陋习。</w:t>
            </w:r>
          </w:p>
        </w:tc>
        <w:tc>
          <w:tcPr>
            <w:tcW w:w="133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马  瑾</w:t>
            </w:r>
          </w:p>
        </w:tc>
        <w:tc>
          <w:tcPr>
            <w:tcW w:w="136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宣传部</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r>
              <w:rPr>
                <w:rFonts w:hint="eastAsia" w:ascii="Times New Roman" w:hAnsi="Times New Roman" w:eastAsia="仿宋_GB2312" w:cs="Times New Roman"/>
                <w:sz w:val="22"/>
                <w:szCs w:val="22"/>
                <w:vertAlign w:val="baseline"/>
                <w:lang w:eastAsia="zh-CN"/>
              </w:rPr>
              <w:t>文化旅游广电局</w:t>
            </w:r>
          </w:p>
        </w:tc>
        <w:tc>
          <w:tcPr>
            <w:tcW w:w="57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default" w:ascii="Times New Roman" w:hAnsi="Times New Roman" w:eastAsia="仿宋_GB2312" w:cs="Times New Roman"/>
                <w:sz w:val="22"/>
                <w:szCs w:val="22"/>
                <w:vertAlign w:val="baseline"/>
                <w:lang w:eastAsia="zh-CN"/>
              </w:rPr>
            </w:pPr>
          </w:p>
        </w:tc>
        <w:tc>
          <w:tcPr>
            <w:tcW w:w="88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仿宋_GB2312" w:cs="Times New Roman"/>
                <w:sz w:val="22"/>
                <w:szCs w:val="22"/>
                <w:vertAlign w:val="baseline"/>
                <w:lang w:eastAsia="zh-CN"/>
              </w:rPr>
            </w:pPr>
          </w:p>
        </w:tc>
      </w:tr>
    </w:tbl>
    <w:p/>
    <w:p>
      <w:pPr>
        <w:pStyle w:val="2"/>
        <w:rPr>
          <w:rFonts w:hint="default"/>
          <w:lang w:eastAsia="zh-CN"/>
        </w:rPr>
        <w:sectPr>
          <w:headerReference r:id="rId3" w:type="default"/>
          <w:footerReference r:id="rId4" w:type="default"/>
          <w:pgSz w:w="16838" w:h="11906" w:orient="landscape"/>
          <w:pgMar w:top="1587" w:right="2098" w:bottom="1474" w:left="1984" w:header="851" w:footer="850" w:gutter="0"/>
          <w:cols w:space="0" w:num="1"/>
          <w:rtlGutter w:val="0"/>
          <w:docGrid w:type="lines" w:linePitch="312" w:charSpace="0"/>
        </w:sectPr>
      </w:pPr>
    </w:p>
    <w:p>
      <w:pPr>
        <w:rPr>
          <w:rFonts w:hint="default"/>
          <w:lang w:eastAsia="zh-CN"/>
        </w:rPr>
      </w:pPr>
    </w:p>
    <w:p>
      <w:pPr>
        <w:rPr>
          <w:rFonts w:hint="default" w:ascii="Times New Roman" w:hAnsi="Times New Roman" w:eastAsia="仿宋_GB2312" w:cs="Times New Roman"/>
          <w:color w:val="auto"/>
          <w:sz w:val="32"/>
          <w:szCs w:val="32"/>
          <w:lang w:eastAsia="zh-CN"/>
        </w:rPr>
      </w:pPr>
    </w:p>
    <w:p>
      <w:pPr>
        <w:pStyle w:val="2"/>
        <w:rPr>
          <w:rFonts w:hint="default" w:ascii="Times New Roman" w:hAnsi="Times New Roman" w:eastAsia="仿宋_GB2312" w:cs="Times New Roman"/>
          <w:color w:val="auto"/>
          <w:sz w:val="32"/>
          <w:szCs w:val="32"/>
          <w:lang w:eastAsia="zh-CN"/>
        </w:rPr>
      </w:pPr>
    </w:p>
    <w:p>
      <w:pPr>
        <w:rPr>
          <w:rFonts w:hint="default" w:ascii="Times New Roman" w:hAnsi="Times New Roman" w:eastAsia="仿宋_GB2312" w:cs="Times New Roman"/>
          <w:color w:val="auto"/>
          <w:sz w:val="32"/>
          <w:szCs w:val="32"/>
          <w:lang w:eastAsia="zh-CN"/>
        </w:rPr>
      </w:pPr>
    </w:p>
    <w:p>
      <w:pPr>
        <w:pStyle w:val="2"/>
        <w:rPr>
          <w:rFonts w:hint="default" w:ascii="Times New Roman" w:hAnsi="Times New Roman" w:eastAsia="仿宋_GB2312" w:cs="Times New Roman"/>
          <w:color w:val="auto"/>
          <w:sz w:val="32"/>
          <w:szCs w:val="32"/>
          <w:lang w:eastAsia="zh-CN"/>
        </w:rPr>
      </w:pPr>
    </w:p>
    <w:p>
      <w:pPr>
        <w:rPr>
          <w:rFonts w:hint="default" w:ascii="Times New Roman" w:hAnsi="Times New Roman" w:eastAsia="仿宋_GB2312" w:cs="Times New Roman"/>
          <w:color w:val="auto"/>
          <w:sz w:val="32"/>
          <w:szCs w:val="32"/>
          <w:lang w:eastAsia="zh-CN"/>
        </w:rPr>
      </w:pPr>
    </w:p>
    <w:p>
      <w:pPr>
        <w:pStyle w:val="2"/>
        <w:rPr>
          <w:rFonts w:hint="default" w:ascii="Times New Roman" w:hAnsi="Times New Roman" w:eastAsia="仿宋_GB2312" w:cs="Times New Roman"/>
          <w:color w:val="auto"/>
          <w:sz w:val="32"/>
          <w:szCs w:val="32"/>
          <w:lang w:eastAsia="zh-CN"/>
        </w:rPr>
      </w:pPr>
    </w:p>
    <w:p>
      <w:pPr>
        <w:rPr>
          <w:rFonts w:hint="default" w:ascii="Times New Roman" w:hAnsi="Times New Roman" w:eastAsia="仿宋_GB2312" w:cs="Times New Roman"/>
          <w:color w:val="auto"/>
          <w:sz w:val="32"/>
          <w:szCs w:val="32"/>
          <w:lang w:eastAsia="zh-CN"/>
        </w:rPr>
      </w:pPr>
    </w:p>
    <w:p>
      <w:pPr>
        <w:pStyle w:val="2"/>
        <w:rPr>
          <w:rFonts w:hint="default" w:ascii="Times New Roman" w:hAnsi="Times New Roman" w:eastAsia="仿宋_GB2312" w:cs="Times New Roman"/>
          <w:color w:val="auto"/>
          <w:sz w:val="32"/>
          <w:szCs w:val="32"/>
          <w:lang w:eastAsia="zh-CN"/>
        </w:rPr>
      </w:pPr>
    </w:p>
    <w:p>
      <w:pPr>
        <w:rPr>
          <w:rFonts w:hint="default" w:ascii="Times New Roman" w:hAnsi="Times New Roman" w:eastAsia="仿宋_GB2312" w:cs="Times New Roman"/>
          <w:color w:val="auto"/>
          <w:sz w:val="32"/>
          <w:szCs w:val="32"/>
          <w:lang w:eastAsia="zh-CN"/>
        </w:rPr>
      </w:pPr>
    </w:p>
    <w:p>
      <w:pPr>
        <w:keepNext w:val="0"/>
        <w:keepLines w:val="0"/>
        <w:pageBreakBefore w:val="0"/>
        <w:widowControl w:val="0"/>
        <w:numPr>
          <w:ilvl w:val="0"/>
          <w:numId w:val="0"/>
        </w:numPr>
        <w:pBdr>
          <w:bottom w:val="single" w:color="FFFFFF" w:sz="4" w:space="31"/>
        </w:pBdr>
        <w:kinsoku/>
        <w:wordWrap/>
        <w:overflowPunct/>
        <w:topLinePunct w:val="0"/>
        <w:autoSpaceDE w:val="0"/>
        <w:autoSpaceDN/>
        <w:bidi w:val="0"/>
        <w:adjustRightInd w:val="0"/>
        <w:snapToGrid w:val="0"/>
        <w:spacing w:line="540" w:lineRule="exact"/>
        <w:ind w:firstLine="210" w:firstLineChars="100"/>
        <w:jc w:val="both"/>
        <w:textAlignment w:val="center"/>
        <w:outlineLvl w:val="9"/>
        <w:rPr>
          <w:rFonts w:hint="default" w:ascii="Times New Roman" w:hAnsi="Times New Roman" w:cs="Times New Roman"/>
        </w:rPr>
      </w:pPr>
    </w:p>
    <w:sectPr>
      <w:pgSz w:w="11906" w:h="16838"/>
      <w:pgMar w:top="2098" w:right="1474" w:bottom="1984" w:left="1587" w:header="851" w:footer="850"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-464820</wp:posOffset>
              </wp:positionV>
              <wp:extent cx="1828800" cy="342265"/>
              <wp:effectExtent l="0" t="0" r="0" b="0"/>
              <wp:wrapNone/>
              <wp:docPr id="27" name="文本框1"/>
              <wp:cNvGraphicFramePr/>
              <a:graphic xmlns:a="http://schemas.openxmlformats.org/drawingml/2006/main">
                <a:graphicData uri="http://schemas.microsoft.com/office/word/2010/wordprocessingShape">
                  <wps:wsp>
                    <wps:cNvSpPr txBox="1"/>
                    <wps:spPr>
                      <a:xfrm>
                        <a:off x="0" y="0"/>
                        <a:ext cx="1828800" cy="342265"/>
                      </a:xfrm>
                      <a:prstGeom prst="rect">
                        <a:avLst/>
                      </a:prstGeom>
                      <a:noFill/>
                      <a:ln w="9525">
                        <a:noFill/>
                      </a:ln>
                      <a:effectLst/>
                    </wps:spPr>
                    <wps:txbx>
                      <w:txbxContent>
                        <w:p>
                          <w:pPr>
                            <w:snapToGrid w:val="0"/>
                            <w:ind w:left="420" w:leftChars="200" w:right="420" w:rightChars="200"/>
                            <w:jc w:val="cente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8</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wrap="none" lIns="0" tIns="0" rIns="0" bIns="0">
                      <a:noAutofit/>
                    </wps:bodyPr>
                  </wps:wsp>
                </a:graphicData>
              </a:graphic>
            </wp:anchor>
          </w:drawing>
        </mc:Choice>
        <mc:Fallback>
          <w:pict>
            <v:shape id="文本框1" o:spid="_x0000_s1026" o:spt="202" type="#_x0000_t202" style="position:absolute;left:0pt;margin-top:-36.6pt;height:26.95pt;width:144pt;mso-position-horizontal:outside;mso-position-horizontal-relative:margin;mso-wrap-style:none;z-index:251659264;mso-width-relative:page;mso-height-relative:page;" filled="f" stroked="f" coordsize="21600,21600" o:gfxdata="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xneGztUAAAAIAQAADwAAAAAAAAABACAAAAAi&#10;AAAAZHJzL2Rvd25yZXYueG1sUEsBAhQAFAAAAAgAh07iQC2X8rPUAQAAowMAAA4AAAAAAAAAAQAg&#10;AAAAJAEAAGRycy9lMm9Eb2MueG1sUEsFBgAAAAAGAAYAWQEAAGoFAAAAAA==&#10;">
              <v:fill on="f" focussize="0,0"/>
              <v:stroke on="f"/>
              <v:imagedata o:title=""/>
              <o:lock v:ext="edit" aspectratio="f"/>
              <v:textbox inset="0mm,0mm,0mm,0mm">
                <w:txbxContent>
                  <w:p>
                    <w:pPr>
                      <w:snapToGrid w:val="0"/>
                      <w:ind w:left="420" w:leftChars="200" w:right="420" w:rightChars="200"/>
                      <w:jc w:val="cente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8</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lYzAwYjI2YzFiMjQzMDIyNGQxNzgwMGIxNmQyMGMifQ=="/>
  </w:docVars>
  <w:rsids>
    <w:rsidRoot w:val="455444CF"/>
    <w:rsid w:val="00A90C44"/>
    <w:rsid w:val="0232433C"/>
    <w:rsid w:val="0520210F"/>
    <w:rsid w:val="05E556DD"/>
    <w:rsid w:val="0C0724A7"/>
    <w:rsid w:val="0C35214E"/>
    <w:rsid w:val="0F9472F3"/>
    <w:rsid w:val="0FB75A2B"/>
    <w:rsid w:val="14BD0382"/>
    <w:rsid w:val="1A3B3F6C"/>
    <w:rsid w:val="1C3B3836"/>
    <w:rsid w:val="1D0F6327"/>
    <w:rsid w:val="1DCB24CE"/>
    <w:rsid w:val="21FB1065"/>
    <w:rsid w:val="22F277B5"/>
    <w:rsid w:val="27E56E80"/>
    <w:rsid w:val="29F45EEE"/>
    <w:rsid w:val="2B634CF0"/>
    <w:rsid w:val="2C0337CD"/>
    <w:rsid w:val="2C2A0CA0"/>
    <w:rsid w:val="317B24FC"/>
    <w:rsid w:val="31D522C1"/>
    <w:rsid w:val="338263E3"/>
    <w:rsid w:val="338D77C2"/>
    <w:rsid w:val="35BA0222"/>
    <w:rsid w:val="37FB162E"/>
    <w:rsid w:val="3C11112E"/>
    <w:rsid w:val="3D4A402D"/>
    <w:rsid w:val="3DE60392"/>
    <w:rsid w:val="3EAF5DC7"/>
    <w:rsid w:val="40134D5F"/>
    <w:rsid w:val="43D535C3"/>
    <w:rsid w:val="44F01446"/>
    <w:rsid w:val="452F0B93"/>
    <w:rsid w:val="455444CF"/>
    <w:rsid w:val="52B037D2"/>
    <w:rsid w:val="550408B9"/>
    <w:rsid w:val="5B444BBA"/>
    <w:rsid w:val="5B66035A"/>
    <w:rsid w:val="634239B9"/>
    <w:rsid w:val="63CF4A4F"/>
    <w:rsid w:val="67DD7E37"/>
    <w:rsid w:val="6AD84CF3"/>
    <w:rsid w:val="6C8759C0"/>
    <w:rsid w:val="6E017802"/>
    <w:rsid w:val="6E31620A"/>
    <w:rsid w:val="6F797552"/>
    <w:rsid w:val="706A404E"/>
    <w:rsid w:val="70DD096D"/>
    <w:rsid w:val="7B793558"/>
    <w:rsid w:val="7DE93412"/>
    <w:rsid w:val="7E4C0829"/>
    <w:rsid w:val="7F9D1C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unhideWhenUsed/>
    <w:qFormat/>
    <w:uiPriority w:val="0"/>
    <w:pPr>
      <w:spacing w:line="560" w:lineRule="exact"/>
      <w:ind w:firstLine="1200" w:firstLineChars="200"/>
      <w:outlineLvl w:val="2"/>
    </w:pPr>
    <w:rPr>
      <w:rFonts w:ascii="Calibri" w:hAnsi="Calibri" w:eastAsia="宋体" w:cs="Times New Roman"/>
      <w:b/>
      <w:bCs/>
    </w:rPr>
  </w:style>
  <w:style w:type="character" w:default="1" w:styleId="11">
    <w:name w:val="Default Paragraph Font"/>
    <w:link w:val="12"/>
    <w:semiHidden/>
    <w:qFormat/>
    <w:uiPriority w:val="0"/>
    <w:rPr>
      <w:szCs w:val="24"/>
    </w:rPr>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rPr>
      <w:rFonts w:ascii="仿宋_GB2312" w:hAnsi="仿宋_GB2312" w:eastAsia="仿宋_GB2312" w:cs="仿宋_GB2312"/>
      <w:sz w:val="32"/>
      <w:szCs w:val="32"/>
      <w:lang w:val="zh-CN" w:eastAsia="zh-CN" w:bidi="zh-CN"/>
    </w:rPr>
  </w:style>
  <w:style w:type="paragraph" w:styleId="4">
    <w:name w:val="index 5"/>
    <w:basedOn w:val="1"/>
    <w:next w:val="1"/>
    <w:qFormat/>
    <w:uiPriority w:val="0"/>
    <w:pPr>
      <w:ind w:left="1680"/>
    </w:pPr>
  </w:style>
  <w:style w:type="paragraph" w:styleId="5">
    <w:name w:val="Body Text Indent"/>
    <w:basedOn w:val="1"/>
    <w:next w:val="4"/>
    <w:qFormat/>
    <w:uiPriority w:val="0"/>
    <w:pPr>
      <w:ind w:firstLine="630"/>
    </w:pPr>
    <w:rPr>
      <w:rFonts w:eastAsia="仿宋_GB2312"/>
      <w:sz w:val="32"/>
    </w:rPr>
  </w:style>
  <w:style w:type="paragraph" w:styleId="6">
    <w:name w:val="footer"/>
    <w:basedOn w:val="1"/>
    <w:next w:val="1"/>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8">
    <w:name w:val="Body Text First Indent 2"/>
    <w:basedOn w:val="5"/>
    <w:next w:val="1"/>
    <w:qFormat/>
    <w:uiPriority w:val="0"/>
    <w:pPr>
      <w:ind w:firstLine="420" w:firstLineChars="200"/>
    </w:p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 Char1 Char Char Char"/>
    <w:basedOn w:val="1"/>
    <w:link w:val="11"/>
    <w:qFormat/>
    <w:uiPriority w:val="0"/>
    <w:rPr>
      <w:szCs w:val="24"/>
    </w:rPr>
  </w:style>
  <w:style w:type="character" w:styleId="13">
    <w:name w:val="page number"/>
    <w:basedOn w:val="11"/>
    <w:qFormat/>
    <w:uiPriority w:val="0"/>
    <w:rPr>
      <w:rFonts w:hint="default" w:ascii="Times New Roman"/>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4935</Words>
  <Characters>5097</Characters>
  <Lines>0</Lines>
  <Paragraphs>0</Paragraphs>
  <TotalTime>2</TotalTime>
  <ScaleCrop>false</ScaleCrop>
  <LinksUpToDate>false</LinksUpToDate>
  <CharactersWithSpaces>5141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2021-06-02T07:59:00Z</dcterms:created>
  <dc:creator>李翔宇</dc:creator>
  <cp:lastModifiedBy>lenovo</cp:lastModifiedBy>
  <cp:lastPrinted>2021-06-22T07:34:00Z</cp:lastPrinted>
  <dcterms:modified xsi:type="dcterms:W3CDTF">2022-11-07T01:52:59Z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C6A553A7DF5D44148EC0E2144820F546</vt:lpwstr>
  </property>
</Properties>
</file>