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val="0"/>
        <w:overflowPunct/>
        <w:topLinePunct w:val="0"/>
        <w:autoSpaceDE/>
        <w:autoSpaceDN/>
        <w:bidi w:val="0"/>
        <w:adjustRightInd w:val="0"/>
        <w:snapToGrid/>
        <w:spacing w:line="540" w:lineRule="exact"/>
        <w:jc w:val="both"/>
        <w:textAlignment w:val="auto"/>
        <w:outlineLvl w:val="9"/>
        <w:rPr>
          <w:rFonts w:hint="default" w:ascii="Times New Roman" w:hAnsi="Times New Roman" w:eastAsia="黑体" w:cs="Times New Roman"/>
          <w:color w:val="0D0D0D" w:themeColor="text1" w:themeTint="F2"/>
          <w:spacing w:val="-6"/>
          <w:w w:val="95"/>
          <w:sz w:val="32"/>
          <w:szCs w:val="32"/>
          <w:highlight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黑体" w:cs="Times New Roman"/>
          <w:color w:val="0D0D0D" w:themeColor="text1" w:themeTint="F2"/>
          <w:spacing w:val="-6"/>
          <w:w w:val="95"/>
          <w:sz w:val="32"/>
          <w:szCs w:val="32"/>
          <w:highlight w:val="none"/>
          <w:lang w:val="en-US" w:eastAsia="zh-CN"/>
          <w14:textFill>
            <w14:solidFill>
              <w14:schemeClr w14:val="tx1">
                <w14:lumMod w14:val="95000"/>
                <w14:lumOff w14:val="5000"/>
              </w14:schemeClr>
            </w14:solidFill>
          </w14:textFill>
        </w:rPr>
        <w:t>附件1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D0D0D" w:themeColor="text1" w:themeTint="F2"/>
          <w:spacing w:val="-6"/>
          <w:w w:val="95"/>
          <w:sz w:val="44"/>
          <w:szCs w:val="44"/>
          <w:highlight w:val="none"/>
          <w:lang w:val="en-US" w:eastAsia="zh-CN"/>
          <w14:textFill>
            <w14:solidFill>
              <w14:schemeClr w14:val="tx1">
                <w14:lumMod w14:val="95000"/>
                <w14:lumOff w14:val="5000"/>
              </w14:schemeClr>
            </w14:solidFill>
          </w14:textFill>
        </w:rPr>
      </w:pPr>
      <w:r>
        <w:rPr>
          <w:rFonts w:hint="default" w:ascii="Times New Roman" w:hAnsi="Times New Roman" w:eastAsia="方正小标宋简体" w:cs="Times New Roman"/>
          <w:color w:val="0D0D0D" w:themeColor="text1" w:themeTint="F2"/>
          <w:spacing w:val="-6"/>
          <w:w w:val="95"/>
          <w:sz w:val="44"/>
          <w:szCs w:val="44"/>
          <w:highlight w:val="none"/>
          <w:lang w:val="en-US" w:eastAsia="zh-CN"/>
          <w14:textFill>
            <w14:solidFill>
              <w14:schemeClr w14:val="tx1">
                <w14:lumMod w14:val="95000"/>
                <w14:lumOff w14:val="5000"/>
              </w14:schemeClr>
            </w14:solidFill>
          </w14:textFill>
        </w:rPr>
        <w:t>彭阳县</w:t>
      </w:r>
      <w:r>
        <w:rPr>
          <w:rFonts w:hint="eastAsia" w:ascii="Times New Roman" w:hAnsi="Times New Roman" w:eastAsia="方正小标宋简体" w:cs="Times New Roman"/>
          <w:color w:val="0D0D0D" w:themeColor="text1" w:themeTint="F2"/>
          <w:spacing w:val="-6"/>
          <w:w w:val="95"/>
          <w:sz w:val="44"/>
          <w:szCs w:val="44"/>
          <w:highlight w:val="none"/>
          <w:lang w:val="en-US" w:eastAsia="zh-CN"/>
          <w14:textFill>
            <w14:solidFill>
              <w14:schemeClr w14:val="tx1">
                <w14:lumMod w14:val="95000"/>
                <w14:lumOff w14:val="5000"/>
              </w14:schemeClr>
            </w14:solidFill>
          </w14:textFill>
        </w:rPr>
        <w:t>推动工业结构改造三年行动</w:t>
      </w:r>
      <w:r>
        <w:rPr>
          <w:rFonts w:hint="eastAsia" w:ascii="Times New Roman" w:hAnsi="Times New Roman" w:eastAsia="方正小标宋简体" w:cs="Times New Roman"/>
          <w:color w:val="0D0D0D" w:themeColor="text1" w:themeTint="F2"/>
          <w:spacing w:val="-6"/>
          <w:sz w:val="44"/>
          <w:szCs w:val="44"/>
          <w:lang w:eastAsia="zh-CN"/>
          <w14:textFill>
            <w14:solidFill>
              <w14:schemeClr w14:val="tx1">
                <w14:lumMod w14:val="95000"/>
                <w14:lumOff w14:val="5000"/>
              </w14:schemeClr>
            </w14:solidFill>
          </w14:textFill>
        </w:rPr>
        <w:t>（</w:t>
      </w:r>
      <w:r>
        <w:rPr>
          <w:rFonts w:hint="eastAsia" w:ascii="Times New Roman" w:hAnsi="Times New Roman" w:eastAsia="方正小标宋简体" w:cs="Times New Roman"/>
          <w:color w:val="0D0D0D" w:themeColor="text1" w:themeTint="F2"/>
          <w:spacing w:val="-6"/>
          <w:sz w:val="44"/>
          <w:szCs w:val="44"/>
          <w:lang w:val="en-US" w:eastAsia="zh-CN"/>
          <w14:textFill>
            <w14:solidFill>
              <w14:schemeClr w14:val="tx1">
                <w14:lumMod w14:val="95000"/>
                <w14:lumOff w14:val="5000"/>
              </w14:schemeClr>
            </w14:solidFill>
          </w14:textFill>
        </w:rPr>
        <w:t>2021—2023年</w:t>
      </w:r>
      <w:r>
        <w:rPr>
          <w:rFonts w:hint="eastAsia" w:ascii="Times New Roman" w:hAnsi="Times New Roman" w:eastAsia="方正小标宋简体" w:cs="Times New Roman"/>
          <w:color w:val="0D0D0D" w:themeColor="text1" w:themeTint="F2"/>
          <w:spacing w:val="-6"/>
          <w:sz w:val="44"/>
          <w:szCs w:val="44"/>
          <w:lang w:eastAsia="zh-CN"/>
          <w14:textFill>
            <w14:solidFill>
              <w14:schemeClr w14:val="tx1">
                <w14:lumMod w14:val="95000"/>
                <w14:lumOff w14:val="5000"/>
              </w14:schemeClr>
            </w14:solidFill>
          </w14:textFill>
        </w:rPr>
        <w:t>）</w:t>
      </w:r>
      <w:r>
        <w:rPr>
          <w:rFonts w:hint="default" w:ascii="Times New Roman" w:hAnsi="Times New Roman" w:eastAsia="方正小标宋简体" w:cs="Times New Roman"/>
          <w:color w:val="0D0D0D" w:themeColor="text1" w:themeTint="F2"/>
          <w:spacing w:val="-6"/>
          <w:w w:val="95"/>
          <w:sz w:val="44"/>
          <w:szCs w:val="44"/>
          <w:highlight w:val="none"/>
          <w:lang w:val="en-US" w:eastAsia="zh-CN"/>
          <w14:textFill>
            <w14:solidFill>
              <w14:schemeClr w14:val="tx1">
                <w14:lumMod w14:val="95000"/>
                <w14:lumOff w14:val="5000"/>
              </w14:schemeClr>
            </w14:solidFill>
          </w14:textFill>
        </w:rPr>
        <w:t>重点任务责任清单</w:t>
      </w:r>
    </w:p>
    <w:tbl>
      <w:tblPr>
        <w:tblStyle w:val="9"/>
        <w:tblpPr w:leftFromText="180" w:rightFromText="180" w:vertAnchor="text" w:horzAnchor="page" w:tblpX="676" w:tblpY="31"/>
        <w:tblOverlap w:val="never"/>
        <w:tblW w:w="15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8559"/>
        <w:gridCol w:w="2152"/>
        <w:gridCol w:w="945"/>
        <w:gridCol w:w="100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3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重点任务</w:t>
            </w:r>
          </w:p>
        </w:tc>
        <w:tc>
          <w:tcPr>
            <w:tcW w:w="85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工作措施</w:t>
            </w:r>
          </w:p>
        </w:tc>
        <w:tc>
          <w:tcPr>
            <w:tcW w:w="21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时间节点</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责任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领导</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牵头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单位</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配合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3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一、产业结构优化行动</w:t>
            </w:r>
          </w:p>
        </w:tc>
        <w:tc>
          <w:tcPr>
            <w:tcW w:w="855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1.加快发展现代纺织和服装产业。按照“一年打基础、三年出效益、五年上规模”的发展思路，积极融入区市纺织产业发展体系，重点培育现代纺纱、织布、服装加工三大产业链条，着力抓好浙江义乌新姿家居有限公司、宁夏六盘山纺</w:t>
            </w: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织有限公司落地，鼓励支持宁夏东方圣骄民族服装有限公司改扩建年60万件（套）服装加工项目和宁夏尚衣汇服饰有限公司服装生产线技</w:t>
            </w: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术改造项目建设，形成产业链条完整、市场体系完善、空间布局合理的现代纺织产业发展格局。</w:t>
            </w:r>
          </w:p>
        </w:tc>
        <w:tc>
          <w:tcPr>
            <w:tcW w:w="2152" w:type="dxa"/>
            <w:vMerge w:val="restart"/>
            <w:vAlign w:val="center"/>
          </w:tcPr>
          <w:p>
            <w:pPr>
              <w:keepNext w:val="0"/>
              <w:keepLines w:val="0"/>
              <w:pageBreakBefore w:val="0"/>
              <w:widowControl w:val="0"/>
              <w:suppressLineNumbers w:val="0"/>
              <w:tabs>
                <w:tab w:val="left" w:pos="318"/>
              </w:tabs>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left"/>
              <w:outlineLvl w:val="9"/>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2021年，</w:t>
            </w: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引进纺织和服装加工企业</w:t>
            </w: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落地</w:t>
            </w: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建设，建成数字政府平台，实现电商销售额1.2亿元；2022年，培育纺织、绿色食品等加工企业成为规模以上工业企业；</w:t>
            </w: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到2023年，规模以上现代纺织和服装产值力争达到2亿元，年均增长30%左右；肉牛产业产值力争达到2亿元，年均增长30%左右；绿色食品产业产值力争达到2亿元，年均增长20%左右；能源新材料产值力争达到25亿元，均增长5%左右。</w:t>
            </w:r>
          </w:p>
        </w:tc>
        <w:tc>
          <w:tcPr>
            <w:tcW w:w="94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王洼产业园区管委会</w:t>
            </w:r>
          </w:p>
        </w:tc>
        <w:tc>
          <w:tcPr>
            <w:tcW w:w="1410"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both"/>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both"/>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投资促进服务中心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3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p>
        </w:tc>
        <w:tc>
          <w:tcPr>
            <w:tcW w:w="855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2.重点发展肉牛产业。按照“牛肉优质、加工精深、品牌高端”的思路，重点构建种草养殖、屠宰加工、品牌打造、市场营销等全产业链条。加快彭阳县牛羊定点屠宰场建设项目建设进度，抓好彭阳县伊赛肉牛产业化项目落地建设，重点发展冷鲜肉和分割肉，提高分级加工、分割包装比重。依托“固原牛肉”区域品牌，创新营销模式，扩大消费半径。</w:t>
            </w:r>
          </w:p>
        </w:tc>
        <w:tc>
          <w:tcPr>
            <w:tcW w:w="2152" w:type="dxa"/>
            <w:vMerge w:val="continue"/>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p>
        </w:tc>
        <w:tc>
          <w:tcPr>
            <w:tcW w:w="94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何少庸</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农业农村局</w:t>
            </w:r>
          </w:p>
        </w:tc>
        <w:tc>
          <w:tcPr>
            <w:tcW w:w="1410"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both"/>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both"/>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both"/>
              <w:outlineLvl w:val="9"/>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市监局</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both"/>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3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p>
        </w:tc>
        <w:tc>
          <w:tcPr>
            <w:tcW w:w="855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3.大力发展绿色食品产业。按照“绿色发展、规模经营、高效安全”的思路，建立标准体系、扩大规模体量，加强市场监管、促进提档升级，向创建中国驰名商标、原产地地理标志产品方向迈进。</w:t>
            </w:r>
          </w:p>
        </w:tc>
        <w:tc>
          <w:tcPr>
            <w:tcW w:w="215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何少庸</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农业农村局</w:t>
            </w:r>
          </w:p>
        </w:tc>
        <w:tc>
          <w:tcPr>
            <w:tcW w:w="1410"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both"/>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both"/>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both"/>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3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p>
        </w:tc>
        <w:tc>
          <w:tcPr>
            <w:tcW w:w="855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4.鼓励发展能源及新材料产业。按照“加快开发、循环链接、创新发展”的思路，重点对煤炭加工转化实施扩能增产，完成矿区煤炭资源市场化配置，具备前置条件后启动投产王洼煤业600万吨/年生产线，同时,在具备条件的区域探索发展风电、光伏电站项目，推动能源产业发展。</w:t>
            </w:r>
          </w:p>
        </w:tc>
        <w:tc>
          <w:tcPr>
            <w:tcW w:w="215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发改局</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投资促进服务中心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13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p>
        </w:tc>
        <w:tc>
          <w:tcPr>
            <w:tcW w:w="855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5.稳步发展电子信息产业。加快建成数字彭阳项目，汇聚政府和社会数据资源，形成数据资产，支撑我县对各类数据资源需求的响应和服务能力，推进数字经济发展，推动云计算、大数据、物联网、5G等新一代信息技术同工业、农业、文化旅游、电子商务融合发展。</w:t>
            </w:r>
          </w:p>
        </w:tc>
        <w:tc>
          <w:tcPr>
            <w:tcW w:w="215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政府办</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投资促进服务中心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exact"/>
        </w:trPr>
        <w:tc>
          <w:tcPr>
            <w:tcW w:w="139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二、</w:t>
            </w:r>
            <w:r>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产能结构优化行动</w:t>
            </w:r>
          </w:p>
        </w:tc>
        <w:tc>
          <w:tcPr>
            <w:tcW w:w="855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综合运用环保、能耗、安全、质量、技术等法规标准，倒逼砖瓦、砂石等建材等行业企业落后产能退出，持续淘汰云峰淀粉等过剩产能企业低端低效设备。</w:t>
            </w:r>
          </w:p>
        </w:tc>
        <w:tc>
          <w:tcPr>
            <w:tcW w:w="2152"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2021年，</w:t>
            </w: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完成云峰淀粉落后产能淘汰</w:t>
            </w: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；到202</w:t>
            </w: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3</w:t>
            </w: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年，落后产能淘汰任务</w:t>
            </w: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基本</w:t>
            </w: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完成。</w:t>
            </w:r>
          </w:p>
        </w:tc>
        <w:tc>
          <w:tcPr>
            <w:tcW w:w="94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tc>
        <w:tc>
          <w:tcPr>
            <w:tcW w:w="1410"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both"/>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both"/>
              <w:outlineLvl w:val="9"/>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自然资源局</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both"/>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生态环境局</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both"/>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市监局</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both"/>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exact"/>
        </w:trPr>
        <w:tc>
          <w:tcPr>
            <w:tcW w:w="13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三、</w:t>
            </w:r>
            <w:r>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产品结构优化行动</w:t>
            </w:r>
          </w:p>
        </w:tc>
        <w:tc>
          <w:tcPr>
            <w:tcW w:w="855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1.培育“专精特新”（示范）企业。引导中小企业走“专精特新”发展之路，加快实现生产专业化、管理精细化、产品特色化、商业模式新型化。持续开展制造业领先示范企业（产品）认定工作，争创国家级制造业单项冠军企业（产品）。</w:t>
            </w:r>
          </w:p>
        </w:tc>
        <w:tc>
          <w:tcPr>
            <w:tcW w:w="215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到2023年，培育自治区级制造业领先示范企业（产品）1个，“专精特新”（示范）企业3家、培育1个自治区</w:t>
            </w: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级</w:t>
            </w: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新产品。</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王洼产业园区管委会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exact"/>
        </w:trPr>
        <w:tc>
          <w:tcPr>
            <w:tcW w:w="13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p>
        </w:tc>
        <w:tc>
          <w:tcPr>
            <w:tcW w:w="855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2.创建“三品”示范企业。大力实施增品种、提品质、创品牌专项行动，支持企业积极开展个性化定制、柔性化生产，丰富和细化消费品种类。鼓励支持企业制定品牌发展战略，提升产品附加值和软实力，不断提高品牌产品知名度。</w:t>
            </w:r>
          </w:p>
        </w:tc>
        <w:tc>
          <w:tcPr>
            <w:tcW w:w="215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王继讲</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市监局</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园区管委会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发改局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exact"/>
        </w:trPr>
        <w:tc>
          <w:tcPr>
            <w:tcW w:w="13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四、</w:t>
            </w:r>
            <w:r>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投资结构优化行动</w:t>
            </w:r>
          </w:p>
        </w:tc>
        <w:tc>
          <w:tcPr>
            <w:tcW w:w="855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1.推进</w:t>
            </w: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招商</w:t>
            </w: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项目</w:t>
            </w: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落地</w:t>
            </w: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建设。聚焦肉牛、绿色食品、现代纺织和服装产业等重点关键环节，坚持招商引进企业和扶持本土企业并重，持续在补链建链</w:t>
            </w: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强</w:t>
            </w: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链上下功夫，每年在重点项目建设上都有新突破、新进展。</w:t>
            </w:r>
          </w:p>
        </w:tc>
        <w:tc>
          <w:tcPr>
            <w:tcW w:w="215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每年引进</w:t>
            </w: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1</w:t>
            </w: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个投资1亿元以上的重大产业项目，每年纳入自治区“三个100”重点工业项目不少于1个。到2023年，全县工业投资结构更加优化，制造业占工业投资比重提高到65%。</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投资促进服务中心</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园区管委会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发改局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exact"/>
        </w:trPr>
        <w:tc>
          <w:tcPr>
            <w:tcW w:w="13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p>
        </w:tc>
        <w:tc>
          <w:tcPr>
            <w:tcW w:w="855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2.提高园区投资强度。引导工业园区资源要素向优质高效投资流动，保证园区亩均投资强度、亩均投入产出比达到全市平均水平。围绕园区主导全产业链项目和关联配套项目，大力实施精准招商，推动产业向集约化集群化发展。积极推动“管委会+公司”模式，引导园区组建投融资平台，并鼓励社会资本参与园区运营建设，为入驻企业提供便捷高效的专业化服务。</w:t>
            </w:r>
          </w:p>
        </w:tc>
        <w:tc>
          <w:tcPr>
            <w:tcW w:w="215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王洼产业园区管委会</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p>
        </w:tc>
      </w:tr>
    </w:tbl>
    <w:p>
      <w:pPr>
        <w:rPr>
          <w:rFonts w:hint="default" w:ascii="Times New Roman" w:hAnsi="Times New Roman" w:cs="Times New Roman"/>
          <w:color w:val="0D0D0D" w:themeColor="text1" w:themeTint="F2"/>
          <w:highlight w:val="none"/>
          <w14:textFill>
            <w14:solidFill>
              <w14:schemeClr w14:val="tx1">
                <w14:lumMod w14:val="95000"/>
                <w14:lumOff w14:val="5000"/>
              </w14:schemeClr>
            </w14:solidFill>
          </w14:textFill>
        </w:rPr>
      </w:pPr>
    </w:p>
    <w:p>
      <w:pPr>
        <w:pStyle w:val="2"/>
        <w:ind w:firstLine="640"/>
        <w:jc w:val="both"/>
        <w:rPr>
          <w:rFonts w:hint="default" w:ascii="Times New Roman" w:hAnsi="Times New Roman" w:eastAsia="仿宋_GB2312" w:cs="Times New Roman"/>
          <w:color w:val="0D0D0D" w:themeColor="text1" w:themeTint="F2"/>
          <w:sz w:val="32"/>
          <w:szCs w:val="32"/>
          <w:highlight w:val="none"/>
          <w:lang w:val="en-US" w:eastAsia="zh-CN"/>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pStyle w:val="2"/>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default" w:ascii="Times New Roman" w:hAnsi="Times New Roman" w:eastAsia="黑体" w:cs="Times New Roman"/>
          <w:color w:val="0D0D0D" w:themeColor="text1" w:themeTint="F2"/>
          <w:spacing w:val="-6"/>
          <w:w w:val="95"/>
          <w:sz w:val="32"/>
          <w:szCs w:val="32"/>
          <w:highlight w:val="none"/>
          <w:lang w:val="en-US" w:eastAsia="zh-CN"/>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6"/>
          <w:w w:val="95"/>
          <w:sz w:val="32"/>
          <w:szCs w:val="32"/>
          <w:highlight w:val="none"/>
          <w:lang w:val="en-US" w:eastAsia="zh-CN"/>
          <w14:textFill>
            <w14:solidFill>
              <w14:schemeClr w14:val="tx1">
                <w14:lumMod w14:val="95000"/>
                <w14:lumOff w14:val="5000"/>
              </w14:schemeClr>
            </w14:solidFill>
          </w14:textFill>
        </w:rPr>
        <w:t>附件</w:t>
      </w:r>
      <w:r>
        <w:rPr>
          <w:rFonts w:hint="eastAsia" w:ascii="Times New Roman" w:hAnsi="Times New Roman" w:eastAsia="黑体" w:cs="Times New Roman"/>
          <w:color w:val="0D0D0D" w:themeColor="text1" w:themeTint="F2"/>
          <w:spacing w:val="-6"/>
          <w:w w:val="95"/>
          <w:sz w:val="32"/>
          <w:szCs w:val="32"/>
          <w:highlight w:val="none"/>
          <w:lang w:val="en-US" w:eastAsia="zh-CN"/>
          <w14:textFill>
            <w14:solidFill>
              <w14:schemeClr w14:val="tx1">
                <w14:lumMod w14:val="95000"/>
                <w14:lumOff w14:val="5000"/>
              </w14:schemeClr>
            </w14:solidFill>
          </w14:textFill>
        </w:rPr>
        <w:t>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Times New Roman" w:hAnsi="Times New Roman" w:eastAsia="方正小标宋简体" w:cs="Times New Roman"/>
          <w:color w:val="0D0D0D" w:themeColor="text1" w:themeTint="F2"/>
          <w:spacing w:val="-6"/>
          <w:w w:val="95"/>
          <w:sz w:val="44"/>
          <w:szCs w:val="44"/>
          <w:highlight w:val="none"/>
          <w:lang w:val="en-US" w:eastAsia="zh-CN"/>
          <w14:textFill>
            <w14:solidFill>
              <w14:schemeClr w14:val="tx1">
                <w14:lumMod w14:val="95000"/>
                <w14:lumOff w14:val="5000"/>
              </w14:schemeClr>
            </w14:solidFill>
          </w14:textFill>
        </w:rPr>
      </w:pPr>
      <w:r>
        <w:rPr>
          <w:rFonts w:hint="default" w:ascii="Times New Roman" w:hAnsi="Times New Roman" w:eastAsia="方正小标宋简体" w:cs="Times New Roman"/>
          <w:color w:val="0D0D0D" w:themeColor="text1" w:themeTint="F2"/>
          <w:spacing w:val="-6"/>
          <w:w w:val="95"/>
          <w:sz w:val="44"/>
          <w:szCs w:val="44"/>
          <w:highlight w:val="none"/>
          <w:lang w:val="en-US" w:eastAsia="zh-CN"/>
          <w14:textFill>
            <w14:solidFill>
              <w14:schemeClr w14:val="tx1">
                <w14:lumMod w14:val="95000"/>
                <w14:lumOff w14:val="5000"/>
              </w14:schemeClr>
            </w14:solidFill>
          </w14:textFill>
        </w:rPr>
        <w:t>彭阳县推动工业绿色改造三年行动</w:t>
      </w:r>
      <w:r>
        <w:rPr>
          <w:rFonts w:hint="eastAsia" w:ascii="Times New Roman" w:hAnsi="Times New Roman" w:eastAsia="方正小标宋简体" w:cs="Times New Roman"/>
          <w:color w:val="0D0D0D" w:themeColor="text1" w:themeTint="F2"/>
          <w:spacing w:val="-6"/>
          <w:sz w:val="44"/>
          <w:szCs w:val="44"/>
          <w:lang w:eastAsia="zh-CN"/>
          <w14:textFill>
            <w14:solidFill>
              <w14:schemeClr w14:val="tx1">
                <w14:lumMod w14:val="95000"/>
                <w14:lumOff w14:val="5000"/>
              </w14:schemeClr>
            </w14:solidFill>
          </w14:textFill>
        </w:rPr>
        <w:t>（</w:t>
      </w:r>
      <w:r>
        <w:rPr>
          <w:rFonts w:hint="eastAsia" w:ascii="Times New Roman" w:hAnsi="Times New Roman" w:eastAsia="方正小标宋简体" w:cs="Times New Roman"/>
          <w:color w:val="0D0D0D" w:themeColor="text1" w:themeTint="F2"/>
          <w:spacing w:val="-6"/>
          <w:sz w:val="44"/>
          <w:szCs w:val="44"/>
          <w:lang w:val="en-US" w:eastAsia="zh-CN"/>
          <w14:textFill>
            <w14:solidFill>
              <w14:schemeClr w14:val="tx1">
                <w14:lumMod w14:val="95000"/>
                <w14:lumOff w14:val="5000"/>
              </w14:schemeClr>
            </w14:solidFill>
          </w14:textFill>
        </w:rPr>
        <w:t>2021—2023年</w:t>
      </w:r>
      <w:r>
        <w:rPr>
          <w:rFonts w:hint="eastAsia" w:ascii="Times New Roman" w:hAnsi="Times New Roman" w:eastAsia="方正小标宋简体" w:cs="Times New Roman"/>
          <w:color w:val="0D0D0D" w:themeColor="text1" w:themeTint="F2"/>
          <w:spacing w:val="-6"/>
          <w:sz w:val="44"/>
          <w:szCs w:val="44"/>
          <w:lang w:eastAsia="zh-CN"/>
          <w14:textFill>
            <w14:solidFill>
              <w14:schemeClr w14:val="tx1">
                <w14:lumMod w14:val="95000"/>
                <w14:lumOff w14:val="5000"/>
              </w14:schemeClr>
            </w14:solidFill>
          </w14:textFill>
        </w:rPr>
        <w:t>）</w:t>
      </w:r>
      <w:r>
        <w:rPr>
          <w:rFonts w:hint="default" w:ascii="Times New Roman" w:hAnsi="Times New Roman" w:eastAsia="方正小标宋简体" w:cs="Times New Roman"/>
          <w:color w:val="0D0D0D" w:themeColor="text1" w:themeTint="F2"/>
          <w:spacing w:val="-6"/>
          <w:w w:val="95"/>
          <w:sz w:val="44"/>
          <w:szCs w:val="44"/>
          <w:highlight w:val="none"/>
          <w:lang w:val="en-US" w:eastAsia="zh-CN"/>
          <w14:textFill>
            <w14:solidFill>
              <w14:schemeClr w14:val="tx1">
                <w14:lumMod w14:val="95000"/>
                <w14:lumOff w14:val="5000"/>
              </w14:schemeClr>
            </w14:solidFill>
          </w14:textFill>
        </w:rPr>
        <w:t>重点任务责任清单</w:t>
      </w:r>
    </w:p>
    <w:tbl>
      <w:tblPr>
        <w:tblStyle w:val="9"/>
        <w:tblpPr w:leftFromText="180" w:rightFromText="180" w:vertAnchor="text" w:horzAnchor="page" w:tblpX="676" w:tblpY="31"/>
        <w:tblOverlap w:val="never"/>
        <w:tblW w:w="15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8185"/>
        <w:gridCol w:w="3034"/>
        <w:gridCol w:w="945"/>
        <w:gridCol w:w="1005"/>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8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重点任务</w:t>
            </w:r>
          </w:p>
        </w:tc>
        <w:tc>
          <w:tcPr>
            <w:tcW w:w="81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工作措施</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时间节点</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责任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领导</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牵头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单位</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配合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88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一、提升工业能效水效</w:t>
            </w:r>
          </w:p>
        </w:tc>
        <w:tc>
          <w:tcPr>
            <w:tcW w:w="81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1.组织实施工业企业能效“领跑者”和能效水平对标达标行动，开展重点用能工业企业节能诊断，推广应用先进节能技术、工艺、装备，建成一批节能改造升级示范项目。根据自治区工信厅新修订的《宁夏用能单位产品能耗限额指标目录》，严格落实节能审查制度。</w:t>
            </w:r>
          </w:p>
        </w:tc>
        <w:tc>
          <w:tcPr>
            <w:tcW w:w="3034" w:type="dxa"/>
            <w:vMerge w:val="restart"/>
            <w:vAlign w:val="center"/>
          </w:tcPr>
          <w:p>
            <w:pPr>
              <w:keepNext w:val="0"/>
              <w:keepLines w:val="0"/>
              <w:pageBreakBefore w:val="0"/>
              <w:widowControl w:val="0"/>
              <w:suppressLineNumbers w:val="0"/>
              <w:tabs>
                <w:tab w:val="left" w:pos="318"/>
              </w:tabs>
              <w:suppressAutoHyphen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ab/>
            </w: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2021年，对1家重点用能企业进行节能诊断，推进红峰原料洗涤水循环系统及成品冷却系统技改项目及王洼矿区集中供热改造提升项目二期工程建设，提高能源及水资源利用效率；2022年，规模以上工业企业用水重复利用率达到75%以上；到2023年，累计实施2个重点节能节水改造项目，完成2家重点用能企业节能诊断。规模以上工业用水重复利用率达到78%以上，争取创建1家自治区级节水型企业。</w:t>
            </w:r>
          </w:p>
        </w:tc>
        <w:tc>
          <w:tcPr>
            <w:tcW w:w="94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tc>
        <w:tc>
          <w:tcPr>
            <w:tcW w:w="1563"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生态环境局彭阳分局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88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p>
        </w:tc>
        <w:tc>
          <w:tcPr>
            <w:tcW w:w="81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2.推进工业节水改造，加强节水型企业建设，强化用水定额管理，推广水循环梯级利用。加快发展合同能源管理、合同节水管理、合同环境管理等新业态，积极推行节能环保服务整体解决方案。</w:t>
            </w:r>
          </w:p>
        </w:tc>
        <w:tc>
          <w:tcPr>
            <w:tcW w:w="3034" w:type="dxa"/>
            <w:vMerge w:val="continue"/>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p>
        </w:tc>
        <w:tc>
          <w:tcPr>
            <w:tcW w:w="94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何少庸</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水务局</w:t>
            </w:r>
          </w:p>
        </w:tc>
        <w:tc>
          <w:tcPr>
            <w:tcW w:w="1563"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生态环境局彭阳分局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88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二、</w:t>
            </w:r>
            <w:r>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提高资源综合利用水平</w:t>
            </w:r>
          </w:p>
        </w:tc>
        <w:tc>
          <w:tcPr>
            <w:tcW w:w="81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宁夏王洼煤业有限公司等重点产废企业要落实环评报告及批复中的固废综合利用措施。落实大宗固废用于建筑材料、道路建设、农业等领域标准和规范，加大固废利用技术推广力度，增加绿色建材、筑路、农业领域等利用工业固废量。开展工业固废综合利用评价，培育彭阳县鑫卓能源科技发展有限公司成为资源综合利用示范企业，实施煤矸石综合利用等一批工业固废综合利用示范项目。鼓励企业与高校及科研院所合作，开展煤基固废规模化利用技术攻关。</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2021年，创建资源综合利用示范企业1家。到2023年，绿色建材用工业固废量每年环比新增2万吨以上。</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tc>
        <w:tc>
          <w:tcPr>
            <w:tcW w:w="1563"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科技局</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住建局</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交通局</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农业农村局</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市监局</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生态环境局</w:t>
            </w: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彭阳分局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88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三、</w:t>
            </w:r>
            <w:r>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大力推广绿色制造</w:t>
            </w:r>
          </w:p>
        </w:tc>
        <w:tc>
          <w:tcPr>
            <w:tcW w:w="81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推行绿色设计，优先在新材料、轻工、纺织等产业领域，开发具有无害化、节能、环保、高可靠性等特性的绿色产品。在纺织、农副产品品加工等行业，采用先进适用的清洁生产工艺和高效末端治理装备，培育绿色工厂。实施园区循环化改造提升工程，着力推动园区绿色化、循环化改造，实现集中供热供汽、废水集中治理、能源资源梯级优化利用和固废综合利用，创建绿色园区。</w:t>
            </w:r>
          </w:p>
        </w:tc>
        <w:tc>
          <w:tcPr>
            <w:tcW w:w="303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2021年，完成佳利源马铃薯淀粉清洁化生产提升改造工程建设；2023年，争取开发推广1种工业绿色产品，创建1家自治区级绿色工厂。</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王洼产业园区管委会</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科技局</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生态环境局</w:t>
            </w: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彭阳分局</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default" w:ascii="Times New Roman" w:hAnsi="Times New Roman" w:eastAsia="黑体" w:cs="Times New Roman"/>
          <w:color w:val="0D0D0D" w:themeColor="text1" w:themeTint="F2"/>
          <w:spacing w:val="-6"/>
          <w:w w:val="95"/>
          <w:sz w:val="32"/>
          <w:szCs w:val="32"/>
          <w:highlight w:val="none"/>
          <w:lang w:val="en-US" w:eastAsia="zh-CN"/>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6"/>
          <w:w w:val="95"/>
          <w:sz w:val="32"/>
          <w:szCs w:val="32"/>
          <w:highlight w:val="none"/>
          <w:lang w:val="en-US" w:eastAsia="zh-CN"/>
          <w14:textFill>
            <w14:solidFill>
              <w14:schemeClr w14:val="tx1">
                <w14:lumMod w14:val="95000"/>
                <w14:lumOff w14:val="5000"/>
              </w14:schemeClr>
            </w14:solidFill>
          </w14:textFill>
        </w:rPr>
        <w:t>附件</w:t>
      </w:r>
      <w:r>
        <w:rPr>
          <w:rFonts w:hint="eastAsia" w:ascii="Times New Roman" w:hAnsi="Times New Roman" w:eastAsia="黑体" w:cs="Times New Roman"/>
          <w:color w:val="0D0D0D" w:themeColor="text1" w:themeTint="F2"/>
          <w:spacing w:val="-6"/>
          <w:w w:val="95"/>
          <w:sz w:val="32"/>
          <w:szCs w:val="32"/>
          <w:highlight w:val="none"/>
          <w:lang w:val="en-US" w:eastAsia="zh-CN"/>
          <w14:textFill>
            <w14:solidFill>
              <w14:schemeClr w14:val="tx1">
                <w14:lumMod w14:val="95000"/>
                <w14:lumOff w14:val="5000"/>
              </w14:schemeClr>
            </w14:solidFill>
          </w14:textFill>
        </w:rPr>
        <w:t>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Times New Roman" w:hAnsi="Times New Roman" w:eastAsia="方正小标宋简体" w:cs="Times New Roman"/>
          <w:color w:val="0D0D0D" w:themeColor="text1" w:themeTint="F2"/>
          <w:spacing w:val="-6"/>
          <w:w w:val="95"/>
          <w:sz w:val="44"/>
          <w:szCs w:val="44"/>
          <w:highlight w:val="none"/>
          <w:lang w:val="en-US" w:eastAsia="zh-CN"/>
          <w14:textFill>
            <w14:solidFill>
              <w14:schemeClr w14:val="tx1">
                <w14:lumMod w14:val="95000"/>
                <w14:lumOff w14:val="5000"/>
              </w14:schemeClr>
            </w14:solidFill>
          </w14:textFill>
        </w:rPr>
      </w:pPr>
      <w:r>
        <w:rPr>
          <w:rFonts w:hint="default" w:ascii="Times New Roman" w:hAnsi="Times New Roman" w:eastAsia="方正小标宋简体" w:cs="Times New Roman"/>
          <w:color w:val="0D0D0D" w:themeColor="text1" w:themeTint="F2"/>
          <w:spacing w:val="-6"/>
          <w:w w:val="95"/>
          <w:sz w:val="44"/>
          <w:szCs w:val="44"/>
          <w:highlight w:val="none"/>
          <w:lang w:val="en-US" w:eastAsia="zh-CN"/>
          <w14:textFill>
            <w14:solidFill>
              <w14:schemeClr w14:val="tx1">
                <w14:lumMod w14:val="95000"/>
                <w14:lumOff w14:val="5000"/>
              </w14:schemeClr>
            </w14:solidFill>
          </w14:textFill>
        </w:rPr>
        <w:t>彭阳县</w:t>
      </w:r>
      <w:r>
        <w:rPr>
          <w:rFonts w:hint="eastAsia" w:ascii="Times New Roman" w:hAnsi="Times New Roman" w:eastAsia="方正小标宋简体" w:cs="Times New Roman"/>
          <w:color w:val="0D0D0D" w:themeColor="text1" w:themeTint="F2"/>
          <w:spacing w:val="-6"/>
          <w:w w:val="95"/>
          <w:sz w:val="44"/>
          <w:szCs w:val="44"/>
          <w:highlight w:val="none"/>
          <w:lang w:val="en-US" w:eastAsia="zh-CN"/>
          <w14:textFill>
            <w14:solidFill>
              <w14:schemeClr w14:val="tx1">
                <w14:lumMod w14:val="95000"/>
                <w14:lumOff w14:val="5000"/>
              </w14:schemeClr>
            </w14:solidFill>
          </w14:textFill>
        </w:rPr>
        <w:t>推动工业技术改造三年行动</w:t>
      </w:r>
      <w:r>
        <w:rPr>
          <w:rFonts w:hint="eastAsia" w:ascii="Times New Roman" w:hAnsi="Times New Roman" w:eastAsia="方正小标宋简体" w:cs="Times New Roman"/>
          <w:color w:val="0D0D0D" w:themeColor="text1" w:themeTint="F2"/>
          <w:spacing w:val="-6"/>
          <w:sz w:val="44"/>
          <w:szCs w:val="44"/>
          <w:lang w:eastAsia="zh-CN"/>
          <w14:textFill>
            <w14:solidFill>
              <w14:schemeClr w14:val="tx1">
                <w14:lumMod w14:val="95000"/>
                <w14:lumOff w14:val="5000"/>
              </w14:schemeClr>
            </w14:solidFill>
          </w14:textFill>
        </w:rPr>
        <w:t>（</w:t>
      </w:r>
      <w:r>
        <w:rPr>
          <w:rFonts w:hint="eastAsia" w:ascii="Times New Roman" w:hAnsi="Times New Roman" w:eastAsia="方正小标宋简体" w:cs="Times New Roman"/>
          <w:color w:val="0D0D0D" w:themeColor="text1" w:themeTint="F2"/>
          <w:spacing w:val="-6"/>
          <w:sz w:val="44"/>
          <w:szCs w:val="44"/>
          <w:lang w:val="en-US" w:eastAsia="zh-CN"/>
          <w14:textFill>
            <w14:solidFill>
              <w14:schemeClr w14:val="tx1">
                <w14:lumMod w14:val="95000"/>
                <w14:lumOff w14:val="5000"/>
              </w14:schemeClr>
            </w14:solidFill>
          </w14:textFill>
        </w:rPr>
        <w:t>2021—2023年</w:t>
      </w:r>
      <w:r>
        <w:rPr>
          <w:rFonts w:hint="eastAsia" w:ascii="Times New Roman" w:hAnsi="Times New Roman" w:eastAsia="方正小标宋简体" w:cs="Times New Roman"/>
          <w:color w:val="0D0D0D" w:themeColor="text1" w:themeTint="F2"/>
          <w:spacing w:val="-6"/>
          <w:sz w:val="44"/>
          <w:szCs w:val="44"/>
          <w:lang w:eastAsia="zh-CN"/>
          <w14:textFill>
            <w14:solidFill>
              <w14:schemeClr w14:val="tx1">
                <w14:lumMod w14:val="95000"/>
                <w14:lumOff w14:val="5000"/>
              </w14:schemeClr>
            </w14:solidFill>
          </w14:textFill>
        </w:rPr>
        <w:t>）</w:t>
      </w:r>
      <w:r>
        <w:rPr>
          <w:rFonts w:hint="default" w:ascii="Times New Roman" w:hAnsi="Times New Roman" w:eastAsia="方正小标宋简体" w:cs="Times New Roman"/>
          <w:color w:val="0D0D0D" w:themeColor="text1" w:themeTint="F2"/>
          <w:spacing w:val="-6"/>
          <w:w w:val="95"/>
          <w:sz w:val="44"/>
          <w:szCs w:val="44"/>
          <w:highlight w:val="none"/>
          <w:lang w:val="en-US" w:eastAsia="zh-CN"/>
          <w14:textFill>
            <w14:solidFill>
              <w14:schemeClr w14:val="tx1">
                <w14:lumMod w14:val="95000"/>
                <w14:lumOff w14:val="5000"/>
              </w14:schemeClr>
            </w14:solidFill>
          </w14:textFill>
        </w:rPr>
        <w:t>重点任务责任清单</w:t>
      </w:r>
    </w:p>
    <w:tbl>
      <w:tblPr>
        <w:tblStyle w:val="9"/>
        <w:tblpPr w:leftFromText="180" w:rightFromText="180" w:vertAnchor="text" w:horzAnchor="page" w:tblpX="676" w:tblpY="31"/>
        <w:tblOverlap w:val="never"/>
        <w:tblW w:w="15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7934"/>
        <w:gridCol w:w="2717"/>
        <w:gridCol w:w="945"/>
        <w:gridCol w:w="100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45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重点任务</w:t>
            </w:r>
          </w:p>
        </w:tc>
        <w:tc>
          <w:tcPr>
            <w:tcW w:w="793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工作措施</w:t>
            </w:r>
          </w:p>
        </w:tc>
        <w:tc>
          <w:tcPr>
            <w:tcW w:w="27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时间节点</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责任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领导</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牵头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单位</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配合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一、重点项目引领行动</w:t>
            </w:r>
          </w:p>
        </w:tc>
        <w:tc>
          <w:tcPr>
            <w:tcW w:w="79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按照《自治区工业企业技术改造投资指南》明确的技术改造重点和方向，充分发挥自治区综合奖补和区、市技改贴息、担保基金等资金引导作用，重点推动实施投资1000万元以上（含1000万元）重点技术改造项目，对投资5000万元以上（含5000万元）重点技术改造项目积极与区、市相关部门联系，加大政策扶持力度。</w:t>
            </w:r>
          </w:p>
        </w:tc>
        <w:tc>
          <w:tcPr>
            <w:tcW w:w="2717" w:type="dxa"/>
            <w:vAlign w:val="center"/>
          </w:tcPr>
          <w:p>
            <w:pPr>
              <w:keepNext w:val="0"/>
              <w:keepLines w:val="0"/>
              <w:pageBreakBefore w:val="0"/>
              <w:widowControl w:val="0"/>
              <w:suppressLineNumbers w:val="0"/>
              <w:tabs>
                <w:tab w:val="left" w:pos="318"/>
              </w:tabs>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left"/>
              <w:outlineLvl w:val="9"/>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ab/>
            </w: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每年滚动实施2个重点技术改造项目，工业投资稳步回升，技术改造投资年均增长10%以上。到2023年，全县规上工业企业（除商砼企业外）完成一轮高水平技术改造。</w:t>
            </w:r>
          </w:p>
        </w:tc>
        <w:tc>
          <w:tcPr>
            <w:tcW w:w="94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tc>
        <w:tc>
          <w:tcPr>
            <w:tcW w:w="1410"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二、</w:t>
            </w:r>
            <w:r>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对标提升行动</w:t>
            </w:r>
          </w:p>
        </w:tc>
        <w:tc>
          <w:tcPr>
            <w:tcW w:w="79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以《自治区对标奖励管理办法》为引导，围绕绿色建材、农副产品、绿色食品、现代纺织和服装等重点特色产业，找准对标对象、对标要素和对标方法，深入开展对标能力提升示范工程。树立1家自治区领先的行业标杆企业并给予扶持奖励，示范带动更多企业在高端化、绿色化、智能化、融合化上取得突破。</w:t>
            </w:r>
          </w:p>
        </w:tc>
        <w:tc>
          <w:tcPr>
            <w:tcW w:w="2717"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both"/>
              <w:outlineLvl w:val="9"/>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到2023年,争取树立1家自治区工业对标行业标杆企业。</w:t>
            </w:r>
          </w:p>
        </w:tc>
        <w:tc>
          <w:tcPr>
            <w:tcW w:w="94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tc>
        <w:tc>
          <w:tcPr>
            <w:tcW w:w="1410"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三、创新能力提升行动</w:t>
            </w:r>
          </w:p>
        </w:tc>
        <w:tc>
          <w:tcPr>
            <w:tcW w:w="79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围绕重点产业和关键领域，培育1家具有持续创新能力、自主知识产权、引领行业发展的技术创新示范企业。支持企业建立技术中心、技术创新中心、工程（技术）研究中心等科技创新平台和产业研究院等新型研发机构。鼓励行业骨干企业牵头成立产业技术创新联盟，与国内外一流科研院所、知名院校合作建设科技成果转移转化中心。支持具有行业影响力的企业联合高校、科研院所、上下游单位，组建优势互补、成果共享的制造业创新中心。</w:t>
            </w:r>
          </w:p>
        </w:tc>
        <w:tc>
          <w:tcPr>
            <w:tcW w:w="271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2021年建成1个产业研发技术中心，培育科技型中小企业2家；2022年培育科技型中小企业2家；到2023年，全县各类科技型企业达到30家以上，国家和自治区级企业技术创新中心达到5个以上，各类国家和自治区级科技创新平台达到5个。</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何少庸</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科技局</w:t>
            </w:r>
          </w:p>
        </w:tc>
        <w:tc>
          <w:tcPr>
            <w:tcW w:w="1410"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农业农村局</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市监局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四、</w:t>
            </w:r>
            <w:r>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服务型制造转型行动</w:t>
            </w:r>
          </w:p>
        </w:tc>
        <w:tc>
          <w:tcPr>
            <w:tcW w:w="79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鼓励引导肉牛、绿色食品、纺织服装等重点行业企业加大设计投入和应用，建设创新设计公共服务平台，支持设计领域共性关键技术研发。鼓励引导工业企业从提供产品向总集成总承包服务转变，增强咨询设计、项目承接等系统解决能力。鼓励行业龙头企业提高供应链管理水平，中小制造企业建立战略联盟，推动供应链上下游企业、第三方物流、金融等各环节有机融合。</w:t>
            </w:r>
          </w:p>
        </w:tc>
        <w:tc>
          <w:tcPr>
            <w:tcW w:w="271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到2023年，培育和认定自治区级服务型制造示范企业（项目、平台）1个。</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市监局</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default" w:ascii="Times New Roman" w:hAnsi="Times New Roman" w:eastAsia="黑体" w:cs="Times New Roman"/>
          <w:color w:val="0D0D0D" w:themeColor="text1" w:themeTint="F2"/>
          <w:spacing w:val="-6"/>
          <w:w w:val="95"/>
          <w:sz w:val="32"/>
          <w:szCs w:val="32"/>
          <w:highlight w:val="none"/>
          <w:lang w:val="en-US" w:eastAsia="zh-CN"/>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6"/>
          <w:w w:val="95"/>
          <w:sz w:val="32"/>
          <w:szCs w:val="32"/>
          <w:highlight w:val="none"/>
          <w:lang w:val="en-US" w:eastAsia="zh-CN"/>
          <w14:textFill>
            <w14:solidFill>
              <w14:schemeClr w14:val="tx1">
                <w14:lumMod w14:val="95000"/>
                <w14:lumOff w14:val="5000"/>
              </w14:schemeClr>
            </w14:solidFill>
          </w14:textFill>
        </w:rPr>
        <w:t>附件4</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Times New Roman" w:hAnsi="Times New Roman" w:eastAsia="方正小标宋简体" w:cs="Times New Roman"/>
          <w:color w:val="0D0D0D" w:themeColor="text1" w:themeTint="F2"/>
          <w:spacing w:val="-6"/>
          <w:w w:val="95"/>
          <w:sz w:val="44"/>
          <w:szCs w:val="44"/>
          <w:highlight w:val="none"/>
          <w:lang w:val="en-US" w:eastAsia="zh-CN"/>
          <w14:textFill>
            <w14:solidFill>
              <w14:schemeClr w14:val="tx1">
                <w14:lumMod w14:val="95000"/>
                <w14:lumOff w14:val="5000"/>
              </w14:schemeClr>
            </w14:solidFill>
          </w14:textFill>
        </w:rPr>
      </w:pPr>
      <w:r>
        <w:rPr>
          <w:rFonts w:hint="default" w:ascii="Times New Roman" w:hAnsi="Times New Roman" w:eastAsia="方正小标宋简体" w:cs="Times New Roman"/>
          <w:color w:val="0D0D0D" w:themeColor="text1" w:themeTint="F2"/>
          <w:spacing w:val="-6"/>
          <w:w w:val="95"/>
          <w:sz w:val="44"/>
          <w:szCs w:val="44"/>
          <w:highlight w:val="none"/>
          <w:lang w:val="en-US" w:eastAsia="zh-CN"/>
          <w14:textFill>
            <w14:solidFill>
              <w14:schemeClr w14:val="tx1">
                <w14:lumMod w14:val="95000"/>
                <w14:lumOff w14:val="5000"/>
              </w14:schemeClr>
            </w14:solidFill>
          </w14:textFill>
        </w:rPr>
        <w:t>彭阳县推动工业</w:t>
      </w:r>
      <w:r>
        <w:rPr>
          <w:rFonts w:hint="eastAsia" w:ascii="Times New Roman" w:hAnsi="Times New Roman" w:eastAsia="方正小标宋简体" w:cs="Times New Roman"/>
          <w:color w:val="0D0D0D" w:themeColor="text1" w:themeTint="F2"/>
          <w:spacing w:val="-6"/>
          <w:w w:val="95"/>
          <w:sz w:val="44"/>
          <w:szCs w:val="44"/>
          <w:highlight w:val="none"/>
          <w:lang w:val="en-US" w:eastAsia="zh-CN"/>
          <w14:textFill>
            <w14:solidFill>
              <w14:schemeClr w14:val="tx1">
                <w14:lumMod w14:val="95000"/>
                <w14:lumOff w14:val="5000"/>
              </w14:schemeClr>
            </w14:solidFill>
          </w14:textFill>
        </w:rPr>
        <w:t>智能改造</w:t>
      </w:r>
      <w:r>
        <w:rPr>
          <w:rFonts w:hint="default" w:ascii="Times New Roman" w:hAnsi="Times New Roman" w:eastAsia="方正小标宋简体" w:cs="Times New Roman"/>
          <w:color w:val="0D0D0D" w:themeColor="text1" w:themeTint="F2"/>
          <w:spacing w:val="-6"/>
          <w:w w:val="95"/>
          <w:sz w:val="44"/>
          <w:szCs w:val="44"/>
          <w:highlight w:val="none"/>
          <w:lang w:val="en-US" w:eastAsia="zh-CN"/>
          <w14:textFill>
            <w14:solidFill>
              <w14:schemeClr w14:val="tx1">
                <w14:lumMod w14:val="95000"/>
                <w14:lumOff w14:val="5000"/>
              </w14:schemeClr>
            </w14:solidFill>
          </w14:textFill>
        </w:rPr>
        <w:t>三年行动</w:t>
      </w:r>
      <w:r>
        <w:rPr>
          <w:rFonts w:hint="eastAsia" w:ascii="Times New Roman" w:hAnsi="Times New Roman" w:eastAsia="方正小标宋简体" w:cs="Times New Roman"/>
          <w:color w:val="0D0D0D" w:themeColor="text1" w:themeTint="F2"/>
          <w:spacing w:val="-6"/>
          <w:sz w:val="44"/>
          <w:szCs w:val="44"/>
          <w:lang w:eastAsia="zh-CN"/>
          <w14:textFill>
            <w14:solidFill>
              <w14:schemeClr w14:val="tx1">
                <w14:lumMod w14:val="95000"/>
                <w14:lumOff w14:val="5000"/>
              </w14:schemeClr>
            </w14:solidFill>
          </w14:textFill>
        </w:rPr>
        <w:t>（</w:t>
      </w:r>
      <w:r>
        <w:rPr>
          <w:rFonts w:hint="eastAsia" w:ascii="Times New Roman" w:hAnsi="Times New Roman" w:eastAsia="方正小标宋简体" w:cs="Times New Roman"/>
          <w:color w:val="0D0D0D" w:themeColor="text1" w:themeTint="F2"/>
          <w:spacing w:val="-6"/>
          <w:sz w:val="44"/>
          <w:szCs w:val="44"/>
          <w:lang w:val="en-US" w:eastAsia="zh-CN"/>
          <w14:textFill>
            <w14:solidFill>
              <w14:schemeClr w14:val="tx1">
                <w14:lumMod w14:val="95000"/>
                <w14:lumOff w14:val="5000"/>
              </w14:schemeClr>
            </w14:solidFill>
          </w14:textFill>
        </w:rPr>
        <w:t>2021—2023年</w:t>
      </w:r>
      <w:r>
        <w:rPr>
          <w:rFonts w:hint="eastAsia" w:ascii="Times New Roman" w:hAnsi="Times New Roman" w:eastAsia="方正小标宋简体" w:cs="Times New Roman"/>
          <w:color w:val="0D0D0D" w:themeColor="text1" w:themeTint="F2"/>
          <w:spacing w:val="-6"/>
          <w:sz w:val="44"/>
          <w:szCs w:val="44"/>
          <w:lang w:eastAsia="zh-CN"/>
          <w14:textFill>
            <w14:solidFill>
              <w14:schemeClr w14:val="tx1">
                <w14:lumMod w14:val="95000"/>
                <w14:lumOff w14:val="5000"/>
              </w14:schemeClr>
            </w14:solidFill>
          </w14:textFill>
        </w:rPr>
        <w:t>）</w:t>
      </w:r>
      <w:r>
        <w:rPr>
          <w:rFonts w:hint="default" w:ascii="Times New Roman" w:hAnsi="Times New Roman" w:eastAsia="方正小标宋简体" w:cs="Times New Roman"/>
          <w:color w:val="0D0D0D" w:themeColor="text1" w:themeTint="F2"/>
          <w:spacing w:val="-6"/>
          <w:w w:val="95"/>
          <w:sz w:val="44"/>
          <w:szCs w:val="44"/>
          <w:highlight w:val="none"/>
          <w:lang w:val="en-US" w:eastAsia="zh-CN"/>
          <w14:textFill>
            <w14:solidFill>
              <w14:schemeClr w14:val="tx1">
                <w14:lumMod w14:val="95000"/>
                <w14:lumOff w14:val="5000"/>
              </w14:schemeClr>
            </w14:solidFill>
          </w14:textFill>
        </w:rPr>
        <w:t>重点任务责任清单</w:t>
      </w:r>
    </w:p>
    <w:tbl>
      <w:tblPr>
        <w:tblStyle w:val="9"/>
        <w:tblpPr w:leftFromText="180" w:rightFromText="180" w:vertAnchor="text" w:horzAnchor="page" w:tblpX="676" w:tblpY="31"/>
        <w:tblOverlap w:val="never"/>
        <w:tblW w:w="15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8070"/>
        <w:gridCol w:w="2641"/>
        <w:gridCol w:w="945"/>
        <w:gridCol w:w="100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3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重点任务</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工作措施</w:t>
            </w:r>
          </w:p>
        </w:tc>
        <w:tc>
          <w:tcPr>
            <w:tcW w:w="264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时间节点</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责任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领导</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牵头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单位</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配合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28"/>
                <w:szCs w:val="28"/>
                <w:highlight w:val="none"/>
                <w:u w:val="none"/>
                <w:vertAlign w:val="baseline"/>
                <w:lang w:eastAsia="zh-CN"/>
                <w14:textFill>
                  <w14:solidFill>
                    <w14:schemeClr w14:val="tx1">
                      <w14:lumMod w14:val="95000"/>
                      <w14:lumOff w14:val="5000"/>
                    </w14:schemeClr>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3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一、基础设施建设</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1.加快网络基础建设。深入贯彻“网络强国”战略，培育发展5G新产业新业态新模式，建设5G网络和融合应用，到2023年5G基站达到260座，5G示范应用场景达到1个，培育1家以上5G应用领域创新型企业或单位。</w:t>
            </w:r>
          </w:p>
        </w:tc>
        <w:tc>
          <w:tcPr>
            <w:tcW w:w="2641" w:type="dxa"/>
            <w:vMerge w:val="restart"/>
            <w:vAlign w:val="center"/>
          </w:tcPr>
          <w:p>
            <w:pPr>
              <w:keepNext w:val="0"/>
              <w:keepLines w:val="0"/>
              <w:pageBreakBefore w:val="0"/>
              <w:widowControl w:val="0"/>
              <w:suppressLineNumbers w:val="0"/>
              <w:tabs>
                <w:tab w:val="left" w:pos="318"/>
              </w:tabs>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both"/>
              <w:outlineLvl w:val="9"/>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ab/>
            </w: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2021年累计建成5G基站30座，2022年累计建成5G基站100座，到2023年累计建成5G基站260座，完成3个企业内网改造建设，实现工业园区5G网络连续覆盖，5G示范应用场景达到1个。</w:t>
            </w:r>
          </w:p>
        </w:tc>
        <w:tc>
          <w:tcPr>
            <w:tcW w:w="94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tc>
        <w:tc>
          <w:tcPr>
            <w:tcW w:w="1410"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移动公司</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电信公司</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联通公司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3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p>
        </w:tc>
        <w:tc>
          <w:tcPr>
            <w:tcW w:w="80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2.认真落实国家网络提速降费政策，支持鼓励</w:t>
            </w:r>
            <w:r>
              <w:rPr>
                <w:rFonts w:hint="default" w:ascii="Times New Roman" w:hAnsi="Times New Roman" w:eastAsia="仿宋_GB2312" w:cs="Times New Roman"/>
                <w:sz w:val="24"/>
                <w:szCs w:val="24"/>
                <w:highlight w:val="none"/>
              </w:rPr>
              <w:t>鼓励工业企业与</w:t>
            </w:r>
            <w:r>
              <w:rPr>
                <w:rFonts w:ascii="Times New Roman" w:hAnsi="Times New Roman" w:eastAsia="仿宋_GB2312" w:cs="Times New Roman"/>
                <w:sz w:val="24"/>
                <w:szCs w:val="24"/>
                <w:highlight w:val="none"/>
              </w:rPr>
              <w:t>基础电信企业</w:t>
            </w:r>
            <w:r>
              <w:rPr>
                <w:rFonts w:hint="default" w:ascii="Times New Roman" w:hAnsi="Times New Roman" w:eastAsia="仿宋_GB2312" w:cs="Times New Roman"/>
                <w:sz w:val="24"/>
                <w:szCs w:val="24"/>
                <w:highlight w:val="none"/>
              </w:rPr>
              <w:t>合作，利用</w:t>
            </w:r>
            <w:r>
              <w:rPr>
                <w:rFonts w:ascii="Times New Roman" w:hAnsi="Times New Roman" w:eastAsia="仿宋_GB2312" w:cs="Times New Roman"/>
                <w:sz w:val="24"/>
                <w:szCs w:val="24"/>
                <w:highlight w:val="none"/>
              </w:rPr>
              <w:t>5G改造工业互联网内网</w:t>
            </w: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，推进企业内部网络IP化、无线化改造。</w:t>
            </w:r>
          </w:p>
        </w:tc>
        <w:tc>
          <w:tcPr>
            <w:tcW w:w="2641" w:type="dxa"/>
            <w:vMerge w:val="continue"/>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p>
        </w:tc>
        <w:tc>
          <w:tcPr>
            <w:tcW w:w="94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tc>
        <w:tc>
          <w:tcPr>
            <w:tcW w:w="1410"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移动公司</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电信公司</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联通公司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3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二、企业智能改造</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1.推进数字化车间、智能工厂建设或改造。积极创建自治区级数字化车间，聚集创新驱动，品牌引领，绿色发展方向，着力提升绿色建材、高端纺织、新材料装备的数字化、智能化、自主化技术水平，促进企业生产计划、加工装配、检验、检测等各生产环节的智能协作与联动。</w:t>
            </w:r>
          </w:p>
        </w:tc>
        <w:tc>
          <w:tcPr>
            <w:tcW w:w="264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2021年，建成鑫卓能源原料车间煤矸石分选系统和窑炉余热回收利用技术改造项目，2022年，争取建成1个数字化车间，到2023年，推动企业规模化应用智能设备，建成2个数字化车间。</w:t>
            </w:r>
          </w:p>
        </w:tc>
        <w:tc>
          <w:tcPr>
            <w:tcW w:w="94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olor w:val="0D0D0D" w:themeColor="text1" w:themeTint="F2"/>
                <w:spacing w:val="0"/>
                <w:kern w:val="2"/>
                <w:sz w:val="21"/>
                <w:szCs w:val="21"/>
                <w:highlight w:val="none"/>
                <w:u w:val="none"/>
                <w:lang w:val="en-US" w:eastAsia="zh-CN" w:bidi="ar-SA"/>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kern w:val="2"/>
                <w:sz w:val="21"/>
                <w:szCs w:val="21"/>
                <w:highlight w:val="none"/>
                <w:u w:val="none"/>
                <w:vertAlign w:val="baseline"/>
                <w:lang w:val="en-US" w:eastAsia="zh-CN" w:bidi="ar-SA"/>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tc>
        <w:tc>
          <w:tcPr>
            <w:tcW w:w="1410"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kern w:val="2"/>
                <w:sz w:val="21"/>
                <w:szCs w:val="21"/>
                <w:highlight w:val="none"/>
                <w:u w:val="none"/>
                <w:vertAlign w:val="baseline"/>
                <w:lang w:val="en-US" w:eastAsia="zh-CN" w:bidi="ar-SA"/>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3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p>
        </w:tc>
        <w:tc>
          <w:tcPr>
            <w:tcW w:w="80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2.开展机器人示范项目建设。按照《宁夏回族自治区机器人应用示范项目、数字化车间、智能工厂和绿色工厂认定管理办法》，鼓励新型建材、化工、食品等重点行业实施设备换芯、机器换人、生产换线、产品换代、数字赋能行动，推动工业经济高质量发展。</w:t>
            </w:r>
          </w:p>
        </w:tc>
        <w:tc>
          <w:tcPr>
            <w:tcW w:w="26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pPr>
          </w:p>
        </w:tc>
        <w:tc>
          <w:tcPr>
            <w:tcW w:w="94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olor w:val="0D0D0D" w:themeColor="text1" w:themeTint="F2"/>
                <w:spacing w:val="0"/>
                <w:kern w:val="2"/>
                <w:sz w:val="21"/>
                <w:szCs w:val="21"/>
                <w:highlight w:val="none"/>
                <w:u w:val="none"/>
                <w:lang w:val="en-US" w:eastAsia="zh-CN" w:bidi="ar-SA"/>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kern w:val="2"/>
                <w:sz w:val="21"/>
                <w:szCs w:val="21"/>
                <w:highlight w:val="none"/>
                <w:u w:val="none"/>
                <w:vertAlign w:val="baseline"/>
                <w:lang w:val="en-US" w:eastAsia="zh-CN" w:bidi="ar-SA"/>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tc>
        <w:tc>
          <w:tcPr>
            <w:tcW w:w="1410"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kern w:val="2"/>
                <w:sz w:val="21"/>
                <w:szCs w:val="21"/>
                <w:highlight w:val="none"/>
                <w:u w:val="none"/>
                <w:vertAlign w:val="baseline"/>
                <w:lang w:val="en-US" w:eastAsia="zh-CN" w:bidi="ar-SA"/>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39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三、企业上云上平台</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紧紧依托自治区现有的数据资源和云服务平台资源，以自治区云补贴券形式，支持中小微企业使用公共云平台资源，将企业信息基础设施、生产设备和应用系统向云平台迁移，开展智能排产和设备远程运维等应用，降低企业数字化、智能化改造成本。引进一批可复制可推广的工业APP，推动制造技术、管理能力开放共享，提升企业生产效率、管理水平。</w:t>
            </w:r>
          </w:p>
        </w:tc>
        <w:tc>
          <w:tcPr>
            <w:tcW w:w="26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2021年，推动8家工业企业上云上平台。2022年，推动16家工业企业上云上平台。2023年，推动30家工业企业上云上平台，引进1个工业APP。</w:t>
            </w:r>
          </w:p>
        </w:tc>
        <w:tc>
          <w:tcPr>
            <w:tcW w:w="94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eastAsia" w:ascii="Times New Roman" w:hAnsi="Times New Roman" w:eastAsia="仿宋_GB2312" w:cs="Times New Roman"/>
                <w:b w:val="0"/>
                <w:bCs w:val="0"/>
                <w:color w:val="0D0D0D" w:themeColor="text1" w:themeTint="F2"/>
                <w:spacing w:val="0"/>
                <w:kern w:val="2"/>
                <w:sz w:val="21"/>
                <w:szCs w:val="21"/>
                <w:highlight w:val="none"/>
                <w:u w:val="none"/>
                <w:lang w:val="en-US" w:eastAsia="zh-CN" w:bidi="ar-SA"/>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eastAsia" w:ascii="Times New Roman" w:hAnsi="Times New Roman" w:eastAsia="仿宋_GB2312" w:cs="Times New Roman"/>
                <w:color w:val="0D0D0D" w:themeColor="text1" w:themeTint="F2"/>
                <w:spacing w:val="0"/>
                <w:kern w:val="2"/>
                <w:sz w:val="21"/>
                <w:szCs w:val="21"/>
                <w:highlight w:val="none"/>
                <w:u w:val="none"/>
                <w:vertAlign w:val="baseline"/>
                <w:lang w:val="en-US" w:eastAsia="zh-CN" w:bidi="ar-SA"/>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tc>
        <w:tc>
          <w:tcPr>
            <w:tcW w:w="1410"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kern w:val="2"/>
                <w:sz w:val="21"/>
                <w:szCs w:val="21"/>
                <w:highlight w:val="none"/>
                <w:u w:val="none"/>
                <w:vertAlign w:val="baseline"/>
                <w:lang w:val="en-US" w:eastAsia="zh-CN" w:bidi="ar-SA"/>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139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四、中小企业数字化赋能</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依托自治区工业互联网产业联盟和赋智强企平台，在2020年规上企业完成两化融合、智能制造、企业上云评估诊断基础上，推进新入规企业和规下企业开展工业互联网诊断评估，提供工业互联网建设“一对一”入户诊断报告和智能改造方案。</w:t>
            </w:r>
          </w:p>
        </w:tc>
        <w:tc>
          <w:tcPr>
            <w:tcW w:w="26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2021年，完成8家工业企业智能改造诊断服务。2022年，完成16家工业企业智能改造诊断服务。2023年，完成30家工业企业智能改造诊断服务。</w:t>
            </w:r>
          </w:p>
        </w:tc>
        <w:tc>
          <w:tcPr>
            <w:tcW w:w="94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eastAsia" w:ascii="Times New Roman" w:hAnsi="Times New Roman" w:eastAsia="仿宋_GB2312" w:cs="Times New Roman"/>
                <w:b w:val="0"/>
                <w:bCs w:val="0"/>
                <w:color w:val="0D0D0D" w:themeColor="text1" w:themeTint="F2"/>
                <w:spacing w:val="0"/>
                <w:kern w:val="2"/>
                <w:sz w:val="21"/>
                <w:szCs w:val="21"/>
                <w:highlight w:val="none"/>
                <w:u w:val="none"/>
                <w:lang w:val="en-US" w:eastAsia="zh-CN" w:bidi="ar-SA"/>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eastAsia" w:ascii="Times New Roman" w:hAnsi="Times New Roman" w:eastAsia="仿宋_GB2312" w:cs="Times New Roman"/>
                <w:color w:val="0D0D0D" w:themeColor="text1" w:themeTint="F2"/>
                <w:spacing w:val="0"/>
                <w:kern w:val="2"/>
                <w:sz w:val="21"/>
                <w:szCs w:val="21"/>
                <w:highlight w:val="none"/>
                <w:u w:val="none"/>
                <w:vertAlign w:val="baseline"/>
                <w:lang w:val="en-US" w:eastAsia="zh-CN" w:bidi="ar-SA"/>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tc>
        <w:tc>
          <w:tcPr>
            <w:tcW w:w="1410"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kern w:val="2"/>
                <w:sz w:val="21"/>
                <w:szCs w:val="21"/>
                <w:highlight w:val="none"/>
                <w:u w:val="none"/>
                <w:vertAlign w:val="baseline"/>
                <w:lang w:val="en-US" w:eastAsia="zh-CN" w:bidi="ar-SA"/>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139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五、产业园区智慧化</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建设以设施数字化、管理可视化、产业智能化、服务智慧化为重点的智慧园区。设施数字化方面，推进产业园区互联网、物联网、5G、人工智能等新型基础设施建设。管理可视化方面，整合园区安全、消防、环保、通讯网络等资源，构建可视化公共管理平台。产业智能化方面，建立产能共享、设备远程检验检测、线上交易等生产性服务信息平台。服务智慧化方面，整合园区服务资源建立公共服务平台，通过智能终端设备向园区企业提供智能服务，培育“研发共享、产能共享、服务共享”为重点的共享型智慧园区。</w:t>
            </w:r>
          </w:p>
        </w:tc>
        <w:tc>
          <w:tcPr>
            <w:tcW w:w="26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截止2023年完成彭阳县王洼产业园区智慧化管理平台建设。</w:t>
            </w:r>
          </w:p>
        </w:tc>
        <w:tc>
          <w:tcPr>
            <w:tcW w:w="94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eastAsia" w:ascii="Times New Roman" w:hAnsi="Times New Roman" w:eastAsia="仿宋_GB2312" w:cs="Times New Roman"/>
                <w:b w:val="0"/>
                <w:bCs w:val="0"/>
                <w:color w:val="0D0D0D" w:themeColor="text1" w:themeTint="F2"/>
                <w:spacing w:val="0"/>
                <w:kern w:val="2"/>
                <w:sz w:val="21"/>
                <w:szCs w:val="21"/>
                <w:highlight w:val="none"/>
                <w:u w:val="none"/>
                <w:lang w:val="en-US" w:eastAsia="zh-CN" w:bidi="ar-SA"/>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eastAsia" w:ascii="Times New Roman" w:hAnsi="Times New Roman" w:eastAsia="仿宋_GB2312" w:cs="Times New Roman"/>
                <w:color w:val="0D0D0D" w:themeColor="text1" w:themeTint="F2"/>
                <w:spacing w:val="0"/>
                <w:kern w:val="2"/>
                <w:sz w:val="21"/>
                <w:szCs w:val="21"/>
                <w:highlight w:val="none"/>
                <w:u w:val="none"/>
                <w:vertAlign w:val="baseline"/>
                <w:lang w:val="en-US" w:eastAsia="zh-CN" w:bidi="ar-SA"/>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tc>
        <w:tc>
          <w:tcPr>
            <w:tcW w:w="1410"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kern w:val="2"/>
                <w:sz w:val="21"/>
                <w:szCs w:val="21"/>
                <w:highlight w:val="none"/>
                <w:u w:val="none"/>
                <w:vertAlign w:val="baseline"/>
                <w:lang w:val="en-US" w:eastAsia="zh-CN" w:bidi="ar-SA"/>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39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楷体" w:cs="Times New Roman"/>
                <w:b w:val="0"/>
                <w:bCs w:val="0"/>
                <w:color w:val="0D0D0D" w:themeColor="text1" w:themeTint="F2"/>
                <w:sz w:val="21"/>
                <w:szCs w:val="21"/>
                <w:highlight w:val="none"/>
                <w:u w:val="none"/>
                <w:lang w:val="en-US" w:eastAsia="zh-CN"/>
                <w14:textFill>
                  <w14:solidFill>
                    <w14:schemeClr w14:val="tx1">
                      <w14:lumMod w14:val="95000"/>
                      <w14:lumOff w14:val="5000"/>
                    </w14:schemeClr>
                  </w14:solidFill>
                </w14:textFill>
              </w:rPr>
              <w:t>六、信息网络安全</w:t>
            </w:r>
          </w:p>
        </w:tc>
        <w:tc>
          <w:tcPr>
            <w:tcW w:w="80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olor w:val="0D0D0D" w:themeColor="text1" w:themeTint="F2"/>
                <w:spacing w:val="0"/>
                <w:sz w:val="21"/>
                <w:szCs w:val="21"/>
                <w:highlight w:val="none"/>
                <w:u w:val="none"/>
                <w:lang w:val="en-US" w:eastAsia="zh-CN"/>
                <w14:textFill>
                  <w14:solidFill>
                    <w14:schemeClr w14:val="tx1">
                      <w14:lumMod w14:val="95000"/>
                      <w14:lumOff w14:val="5000"/>
                    </w14:schemeClr>
                  </w14:solidFill>
                </w14:textFill>
              </w:rPr>
              <w:t>积极配合自治区、固原市相关部门加强对工业控制系统信息安全工作的指导和督促检查，提升企业工控安全防护能力，落实企业主体责任，推动信息安全风险评估、等级保护和安全保密检查的制度化、规范化、常态化。在重点规上工业企业推广应用国家自主可控密码技术和产品，为网络化制造提供安全保障。</w:t>
            </w:r>
          </w:p>
        </w:tc>
        <w:tc>
          <w:tcPr>
            <w:tcW w:w="2641"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每年组织相关行政人员及企业负责人员参加区、市部门的工控系统安全培训，积极争取自治区工业互联网安全试点项目。</w:t>
            </w:r>
          </w:p>
        </w:tc>
        <w:tc>
          <w:tcPr>
            <w:tcW w:w="94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eastAsia" w:ascii="Times New Roman" w:hAnsi="Times New Roman" w:eastAsia="仿宋_GB2312" w:cs="Times New Roman"/>
                <w:b w:val="0"/>
                <w:bCs w:val="0"/>
                <w:color w:val="0D0D0D" w:themeColor="text1" w:themeTint="F2"/>
                <w:spacing w:val="0"/>
                <w:kern w:val="2"/>
                <w:sz w:val="21"/>
                <w:szCs w:val="21"/>
                <w:highlight w:val="none"/>
                <w:u w:val="none"/>
                <w:lang w:val="en-US" w:eastAsia="zh-CN" w:bidi="ar-SA"/>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sz w:val="21"/>
                <w:szCs w:val="21"/>
                <w:highlight w:val="none"/>
                <w:u w:val="none"/>
                <w:vertAlign w:val="baseline"/>
                <w:lang w:val="en-US" w:eastAsia="zh-CN"/>
                <w14:textFill>
                  <w14:solidFill>
                    <w14:schemeClr w14:val="tx1">
                      <w14:lumMod w14:val="95000"/>
                      <w14:lumOff w14:val="5000"/>
                    </w14:schemeClr>
                  </w14:solidFill>
                </w14:textFill>
              </w:rPr>
              <w:t>王志会</w:t>
            </w:r>
          </w:p>
        </w:tc>
        <w:tc>
          <w:tcPr>
            <w:tcW w:w="1005"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kern w:val="2"/>
                <w:sz w:val="21"/>
                <w:szCs w:val="21"/>
                <w:highlight w:val="none"/>
                <w:u w:val="none"/>
                <w:vertAlign w:val="baseline"/>
                <w:lang w:val="en-US" w:eastAsia="zh-CN" w:bidi="ar-SA"/>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发改局</w:t>
            </w:r>
          </w:p>
        </w:tc>
        <w:tc>
          <w:tcPr>
            <w:tcW w:w="1410" w:type="dxa"/>
            <w:vAlign w:val="center"/>
          </w:tcPr>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default"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园区管委会</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网信办</w:t>
            </w:r>
          </w:p>
          <w:p>
            <w:pPr>
              <w:keepNext w:val="0"/>
              <w:keepLines w:val="0"/>
              <w:pageBreakBefore w:val="0"/>
              <w:widowControl w:val="0"/>
              <w:suppressLineNumbers w:val="0"/>
              <w:suppressAutoHyphens w:val="0"/>
              <w:kinsoku/>
              <w:wordWrap/>
              <w:overflowPunct/>
              <w:topLinePunct w:val="0"/>
              <w:autoSpaceDE w:val="0"/>
              <w:autoSpaceDN/>
              <w:bidi w:val="0"/>
              <w:adjustRightInd/>
              <w:snapToGrid/>
              <w:spacing w:before="0" w:beforeAutospacing="0" w:after="0" w:afterAutospacing="0" w:line="260" w:lineRule="exact"/>
              <w:ind w:left="0" w:leftChars="0" w:right="0" w:rightChars="0" w:firstLine="0" w:firstLineChars="0"/>
              <w:jc w:val="center"/>
              <w:outlineLvl w:val="9"/>
              <w:rPr>
                <w:rFonts w:hint="default" w:ascii="Times New Roman" w:hAnsi="Times New Roman" w:eastAsia="仿宋_GB2312" w:cs="Times New Roman"/>
                <w:color w:val="0D0D0D" w:themeColor="text1" w:themeTint="F2"/>
                <w:spacing w:val="0"/>
                <w:kern w:val="2"/>
                <w:sz w:val="21"/>
                <w:szCs w:val="21"/>
                <w:highlight w:val="none"/>
                <w:u w:val="none"/>
                <w:vertAlign w:val="baseline"/>
                <w:lang w:val="en-US" w:eastAsia="zh-CN" w:bidi="ar-SA"/>
                <w14:textFill>
                  <w14:solidFill>
                    <w14:schemeClr w14:val="tx1">
                      <w14:lumMod w14:val="95000"/>
                      <w14:lumOff w14:val="5000"/>
                    </w14:schemeClr>
                  </w14:solidFill>
                </w14:textFill>
              </w:rPr>
            </w:pPr>
            <w:r>
              <w:rPr>
                <w:rFonts w:hint="eastAsia" w:ascii="Times New Roman" w:hAnsi="Times New Roman" w:eastAsia="仿宋_GB2312" w:cs="Times New Roman"/>
                <w:b w:val="0"/>
                <w:bCs w:val="0"/>
                <w:caps w:val="0"/>
                <w:color w:val="0D0D0D" w:themeColor="text1" w:themeTint="F2"/>
                <w:kern w:val="2"/>
                <w:sz w:val="21"/>
                <w:szCs w:val="21"/>
                <w:highlight w:val="none"/>
                <w:u w:val="none"/>
                <w:vertAlign w:val="baseline"/>
                <w:lang w:val="en-US" w:eastAsia="zh-CN" w:bidi="ar"/>
                <w14:textFill>
                  <w14:solidFill>
                    <w14:schemeClr w14:val="tx1">
                      <w14:lumMod w14:val="95000"/>
                      <w14:lumOff w14:val="5000"/>
                    </w14:schemeClr>
                  </w14:solidFill>
                </w14:textFill>
              </w:rPr>
              <w:t>公安局</w:t>
            </w: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pStyle w:val="2"/>
        <w:rPr>
          <w:rFonts w:hint="default"/>
          <w:color w:val="0D0D0D" w:themeColor="text1" w:themeTint="F2"/>
          <w:lang w:val="en-US" w:eastAsia="zh-CN"/>
          <w14:textFill>
            <w14:solidFill>
              <w14:schemeClr w14:val="tx1">
                <w14:lumMod w14:val="95000"/>
                <w14:lumOff w14:val="5000"/>
              </w14:schemeClr>
            </w14:solidFill>
          </w14:textFill>
        </w:rPr>
        <w:sectPr>
          <w:footerReference r:id="rId3" w:type="default"/>
          <w:pgSz w:w="16838" w:h="11906" w:orient="landscape"/>
          <w:pgMar w:top="1587" w:right="1247" w:bottom="1474" w:left="1020" w:header="851" w:footer="992" w:gutter="0"/>
          <w:pgBorders>
            <w:top w:val="none" w:sz="0" w:space="0"/>
            <w:left w:val="none" w:sz="0" w:space="0"/>
            <w:bottom w:val="none" w:sz="0" w:space="0"/>
            <w:right w:val="none" w:sz="0" w:space="0"/>
          </w:pgBorders>
          <w:pgNumType w:fmt="decimal"/>
          <w:cols w:space="0" w:num="1"/>
          <w:rtlGutter w:val="0"/>
          <w:docGrid w:type="lines" w:linePitch="315" w:charSpace="0"/>
        </w:sectPr>
      </w:pPr>
      <w:bookmarkStart w:id="0" w:name="_GoBack"/>
      <w:bookmarkEnd w:id="0"/>
    </w:p>
    <w:p>
      <w:pPr>
        <w:pStyle w:val="8"/>
        <w:keepNext w:val="0"/>
        <w:keepLines w:val="0"/>
        <w:pageBreakBefore w:val="0"/>
        <w:widowControl w:val="0"/>
        <w:kinsoku/>
        <w:wordWrap/>
        <w:overflowPunct/>
        <w:topLinePunct w:val="0"/>
        <w:autoSpaceDE/>
        <w:autoSpaceDN/>
        <w:bidi w:val="0"/>
        <w:adjustRightInd/>
        <w:snapToGrid/>
        <w:spacing w:after="0" w:afterLines="0" w:line="560" w:lineRule="exact"/>
        <w:textAlignment w:val="auto"/>
        <w:outlineLvl w:val="9"/>
        <w:rPr>
          <w:rFonts w:hint="default" w:ascii="Times New Roman" w:hAnsi="Times New Roman" w:eastAsia="仿宋_GB2312" w:cs="Times New Roman"/>
          <w:b w:val="0"/>
          <w:i w:val="0"/>
          <w:caps w:val="0"/>
          <w:color w:val="0D0D0D" w:themeColor="text1" w:themeTint="F2"/>
          <w:spacing w:val="0"/>
          <w:kern w:val="0"/>
          <w:sz w:val="32"/>
          <w:szCs w:val="32"/>
          <w:shd w:val="clear"/>
          <w:lang w:val="en-US" w:eastAsia="zh-CN" w:bidi="ar"/>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i w:val="0"/>
          <w:caps w:val="0"/>
          <w:color w:val="0D0D0D" w:themeColor="text1" w:themeTint="F2"/>
          <w:spacing w:val="0"/>
          <w:kern w:val="0"/>
          <w:sz w:val="32"/>
          <w:szCs w:val="32"/>
          <w:shd w:val="clear"/>
          <w:lang w:val="en-US" w:eastAsia="zh-CN" w:bidi="ar"/>
          <w14:textFill>
            <w14:solidFill>
              <w14:schemeClr w14:val="tx1">
                <w14:lumMod w14:val="95000"/>
                <w14:lumOff w14:val="5000"/>
              </w14:schemeClr>
            </w14:solidFill>
          </w14:textFill>
        </w:rPr>
      </w:pPr>
    </w:p>
    <w:p>
      <w:pPr>
        <w:pStyle w:val="8"/>
        <w:keepNext w:val="0"/>
        <w:keepLines w:val="0"/>
        <w:pageBreakBefore w:val="0"/>
        <w:widowControl w:val="0"/>
        <w:kinsoku/>
        <w:wordWrap/>
        <w:overflowPunct/>
        <w:topLinePunct w:val="0"/>
        <w:autoSpaceDE/>
        <w:autoSpaceDN/>
        <w:bidi w:val="0"/>
        <w:adjustRightInd/>
        <w:snapToGrid/>
        <w:spacing w:after="0" w:afterLines="0" w:line="560" w:lineRule="exact"/>
        <w:textAlignment w:val="auto"/>
        <w:outlineLvl w:val="9"/>
        <w:rPr>
          <w:rFonts w:hint="default" w:ascii="Times New Roman" w:hAnsi="Times New Roman" w:eastAsia="仿宋_GB2312" w:cs="Times New Roman"/>
          <w:b w:val="0"/>
          <w:i w:val="0"/>
          <w:caps w:val="0"/>
          <w:color w:val="0D0D0D" w:themeColor="text1" w:themeTint="F2"/>
          <w:spacing w:val="0"/>
          <w:kern w:val="0"/>
          <w:sz w:val="32"/>
          <w:szCs w:val="32"/>
          <w:shd w:val="clear"/>
          <w:lang w:val="en-US" w:eastAsia="zh-CN" w:bidi="ar"/>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i w:val="0"/>
          <w:caps w:val="0"/>
          <w:color w:val="0D0D0D" w:themeColor="text1" w:themeTint="F2"/>
          <w:spacing w:val="0"/>
          <w:kern w:val="0"/>
          <w:sz w:val="32"/>
          <w:szCs w:val="32"/>
          <w:shd w:val="clear"/>
          <w:lang w:val="en-US" w:eastAsia="zh-CN" w:bidi="ar"/>
          <w14:textFill>
            <w14:solidFill>
              <w14:schemeClr w14:val="tx1">
                <w14:lumMod w14:val="95000"/>
                <w14:lumOff w14:val="5000"/>
              </w14:schemeClr>
            </w14:solidFill>
          </w14:textFill>
        </w:rPr>
      </w:pPr>
    </w:p>
    <w:p>
      <w:pPr>
        <w:pStyle w:val="8"/>
        <w:keepNext w:val="0"/>
        <w:keepLines w:val="0"/>
        <w:pageBreakBefore w:val="0"/>
        <w:widowControl w:val="0"/>
        <w:kinsoku/>
        <w:wordWrap/>
        <w:overflowPunct/>
        <w:topLinePunct w:val="0"/>
        <w:autoSpaceDE/>
        <w:autoSpaceDN/>
        <w:bidi w:val="0"/>
        <w:adjustRightInd/>
        <w:snapToGrid/>
        <w:spacing w:after="0" w:afterLines="0" w:line="560" w:lineRule="exact"/>
        <w:textAlignment w:val="auto"/>
        <w:outlineLvl w:val="9"/>
        <w:rPr>
          <w:rFonts w:hint="default" w:ascii="Times New Roman" w:hAnsi="Times New Roman" w:eastAsia="仿宋_GB2312" w:cs="Times New Roman"/>
          <w:b w:val="0"/>
          <w:i w:val="0"/>
          <w:caps w:val="0"/>
          <w:color w:val="0D0D0D" w:themeColor="text1" w:themeTint="F2"/>
          <w:spacing w:val="0"/>
          <w:kern w:val="0"/>
          <w:sz w:val="32"/>
          <w:szCs w:val="32"/>
          <w:shd w:val="clear"/>
          <w:lang w:val="en-US" w:eastAsia="zh-CN" w:bidi="ar"/>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i w:val="0"/>
          <w:caps w:val="0"/>
          <w:color w:val="0D0D0D" w:themeColor="text1" w:themeTint="F2"/>
          <w:spacing w:val="0"/>
          <w:kern w:val="0"/>
          <w:sz w:val="32"/>
          <w:szCs w:val="32"/>
          <w:shd w:val="clear"/>
          <w:lang w:val="en-US" w:eastAsia="zh-CN" w:bidi="ar"/>
          <w14:textFill>
            <w14:solidFill>
              <w14:schemeClr w14:val="tx1">
                <w14:lumMod w14:val="95000"/>
                <w14:lumOff w14:val="5000"/>
              </w14:schemeClr>
            </w14:solidFill>
          </w14:textFill>
        </w:rPr>
      </w:pPr>
    </w:p>
    <w:p>
      <w:pPr>
        <w:pStyle w:val="8"/>
        <w:keepNext w:val="0"/>
        <w:keepLines w:val="0"/>
        <w:pageBreakBefore w:val="0"/>
        <w:widowControl w:val="0"/>
        <w:kinsoku/>
        <w:wordWrap/>
        <w:overflowPunct/>
        <w:topLinePunct w:val="0"/>
        <w:autoSpaceDE/>
        <w:autoSpaceDN/>
        <w:bidi w:val="0"/>
        <w:adjustRightInd/>
        <w:snapToGrid/>
        <w:spacing w:after="0" w:afterLines="0" w:line="560" w:lineRule="exact"/>
        <w:textAlignment w:val="auto"/>
        <w:outlineLvl w:val="9"/>
        <w:rPr>
          <w:rFonts w:hint="default" w:ascii="Times New Roman" w:hAnsi="Times New Roman" w:eastAsia="仿宋_GB2312" w:cs="Times New Roman"/>
          <w:b w:val="0"/>
          <w:i w:val="0"/>
          <w:caps w:val="0"/>
          <w:color w:val="0D0D0D" w:themeColor="text1" w:themeTint="F2"/>
          <w:spacing w:val="0"/>
          <w:kern w:val="0"/>
          <w:sz w:val="32"/>
          <w:szCs w:val="32"/>
          <w:shd w:val="clear"/>
          <w:lang w:val="en-US" w:eastAsia="zh-CN" w:bidi="ar"/>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i w:val="0"/>
          <w:caps w:val="0"/>
          <w:color w:val="0D0D0D" w:themeColor="text1" w:themeTint="F2"/>
          <w:spacing w:val="0"/>
          <w:kern w:val="0"/>
          <w:sz w:val="32"/>
          <w:szCs w:val="32"/>
          <w:shd w:val="clear"/>
          <w:lang w:val="en-US" w:eastAsia="zh-CN" w:bidi="ar"/>
          <w14:textFill>
            <w14:solidFill>
              <w14:schemeClr w14:val="tx1">
                <w14:lumMod w14:val="95000"/>
                <w14:lumOff w14:val="5000"/>
              </w14:schemeClr>
            </w14:solidFill>
          </w14:textFill>
        </w:rPr>
      </w:pPr>
    </w:p>
    <w:p>
      <w:pPr>
        <w:pStyle w:val="8"/>
        <w:keepNext w:val="0"/>
        <w:keepLines w:val="0"/>
        <w:pageBreakBefore w:val="0"/>
        <w:widowControl w:val="0"/>
        <w:kinsoku/>
        <w:wordWrap/>
        <w:overflowPunct/>
        <w:topLinePunct w:val="0"/>
        <w:autoSpaceDE/>
        <w:autoSpaceDN/>
        <w:bidi w:val="0"/>
        <w:adjustRightInd/>
        <w:snapToGrid/>
        <w:spacing w:after="0" w:afterLines="0" w:line="560" w:lineRule="exact"/>
        <w:textAlignment w:val="auto"/>
        <w:outlineLvl w:val="9"/>
        <w:rPr>
          <w:rFonts w:hint="default" w:ascii="Times New Roman" w:hAnsi="Times New Roman" w:eastAsia="仿宋_GB2312" w:cs="Times New Roman"/>
          <w:b w:val="0"/>
          <w:i w:val="0"/>
          <w:caps w:val="0"/>
          <w:color w:val="0D0D0D" w:themeColor="text1" w:themeTint="F2"/>
          <w:spacing w:val="0"/>
          <w:kern w:val="0"/>
          <w:sz w:val="32"/>
          <w:szCs w:val="32"/>
          <w:shd w:val="clear"/>
          <w:lang w:val="en-US" w:eastAsia="zh-CN" w:bidi="ar"/>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i w:val="0"/>
          <w:caps w:val="0"/>
          <w:color w:val="0D0D0D" w:themeColor="text1" w:themeTint="F2"/>
          <w:spacing w:val="0"/>
          <w:kern w:val="0"/>
          <w:sz w:val="32"/>
          <w:szCs w:val="32"/>
          <w:shd w:val="clear"/>
          <w:lang w:val="en-US" w:eastAsia="zh-CN" w:bidi="ar"/>
          <w14:textFill>
            <w14:solidFill>
              <w14:schemeClr w14:val="tx1">
                <w14:lumMod w14:val="95000"/>
                <w14:lumOff w14:val="5000"/>
              </w14:schemeClr>
            </w14:solidFill>
          </w14:textFill>
        </w:rPr>
      </w:pPr>
    </w:p>
    <w:p>
      <w:pPr>
        <w:pStyle w:val="8"/>
        <w:keepNext w:val="0"/>
        <w:keepLines w:val="0"/>
        <w:pageBreakBefore w:val="0"/>
        <w:widowControl w:val="0"/>
        <w:kinsoku/>
        <w:wordWrap/>
        <w:overflowPunct/>
        <w:topLinePunct w:val="0"/>
        <w:autoSpaceDE/>
        <w:autoSpaceDN/>
        <w:bidi w:val="0"/>
        <w:adjustRightInd/>
        <w:snapToGrid/>
        <w:spacing w:after="0" w:afterLines="0" w:line="560" w:lineRule="exact"/>
        <w:textAlignment w:val="auto"/>
        <w:outlineLvl w:val="9"/>
        <w:rPr>
          <w:rFonts w:hint="default" w:ascii="Times New Roman" w:hAnsi="Times New Roman" w:eastAsia="仿宋_GB2312" w:cs="Times New Roman"/>
          <w:b w:val="0"/>
          <w:i w:val="0"/>
          <w:caps w:val="0"/>
          <w:color w:val="0D0D0D" w:themeColor="text1" w:themeTint="F2"/>
          <w:spacing w:val="0"/>
          <w:kern w:val="0"/>
          <w:sz w:val="32"/>
          <w:szCs w:val="32"/>
          <w:shd w:val="clear"/>
          <w:lang w:val="en-US" w:eastAsia="zh-CN" w:bidi="ar"/>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i w:val="0"/>
          <w:caps w:val="0"/>
          <w:color w:val="0D0D0D" w:themeColor="text1" w:themeTint="F2"/>
          <w:spacing w:val="0"/>
          <w:kern w:val="0"/>
          <w:sz w:val="32"/>
          <w:szCs w:val="32"/>
          <w:shd w:val="clear"/>
          <w:lang w:val="en-US" w:eastAsia="zh-CN" w:bidi="ar"/>
          <w14:textFill>
            <w14:solidFill>
              <w14:schemeClr w14:val="tx1">
                <w14:lumMod w14:val="95000"/>
                <w14:lumOff w14:val="5000"/>
              </w14:schemeClr>
            </w14:solidFill>
          </w14:textFill>
        </w:rPr>
      </w:pPr>
    </w:p>
    <w:p>
      <w:pPr>
        <w:pStyle w:val="8"/>
        <w:keepNext w:val="0"/>
        <w:keepLines w:val="0"/>
        <w:pageBreakBefore w:val="0"/>
        <w:widowControl w:val="0"/>
        <w:kinsoku/>
        <w:wordWrap/>
        <w:overflowPunct/>
        <w:topLinePunct w:val="0"/>
        <w:autoSpaceDE/>
        <w:autoSpaceDN/>
        <w:bidi w:val="0"/>
        <w:adjustRightInd/>
        <w:snapToGrid/>
        <w:spacing w:after="0" w:afterLines="0" w:line="560" w:lineRule="exact"/>
        <w:textAlignment w:val="auto"/>
        <w:outlineLvl w:val="9"/>
        <w:rPr>
          <w:rFonts w:hint="default" w:ascii="Times New Roman" w:hAnsi="Times New Roman" w:eastAsia="仿宋_GB2312" w:cs="Times New Roman"/>
          <w:b w:val="0"/>
          <w:i w:val="0"/>
          <w:caps w:val="0"/>
          <w:color w:val="0D0D0D" w:themeColor="text1" w:themeTint="F2"/>
          <w:spacing w:val="0"/>
          <w:kern w:val="0"/>
          <w:sz w:val="32"/>
          <w:szCs w:val="32"/>
          <w:shd w:val="clear"/>
          <w:lang w:val="en-US" w:eastAsia="zh-CN" w:bidi="ar"/>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i w:val="0"/>
          <w:caps w:val="0"/>
          <w:color w:val="0D0D0D" w:themeColor="text1" w:themeTint="F2"/>
          <w:spacing w:val="0"/>
          <w:kern w:val="0"/>
          <w:sz w:val="32"/>
          <w:szCs w:val="32"/>
          <w:shd w:val="clear"/>
          <w:lang w:val="en-US" w:eastAsia="zh-CN" w:bidi="ar"/>
          <w14:textFill>
            <w14:solidFill>
              <w14:schemeClr w14:val="tx1">
                <w14:lumMod w14:val="95000"/>
                <w14:lumOff w14:val="5000"/>
              </w14:schemeClr>
            </w14:solidFill>
          </w14:textFill>
        </w:rPr>
      </w:pPr>
    </w:p>
    <w:p>
      <w:pPr>
        <w:pStyle w:val="8"/>
        <w:keepNext w:val="0"/>
        <w:keepLines w:val="0"/>
        <w:pageBreakBefore w:val="0"/>
        <w:widowControl w:val="0"/>
        <w:kinsoku/>
        <w:wordWrap/>
        <w:overflowPunct/>
        <w:topLinePunct w:val="0"/>
        <w:autoSpaceDE/>
        <w:autoSpaceDN/>
        <w:bidi w:val="0"/>
        <w:adjustRightInd/>
        <w:snapToGrid/>
        <w:spacing w:after="0" w:afterLines="0" w:line="560" w:lineRule="exact"/>
        <w:textAlignment w:val="auto"/>
        <w:outlineLvl w:val="9"/>
        <w:rPr>
          <w:rFonts w:hint="default"/>
          <w:color w:val="0D0D0D" w:themeColor="text1" w:themeTint="F2"/>
          <w:shd w:val="clear"/>
          <w:lang w:val="en-US" w:eastAsia="zh-CN"/>
          <w14:textFill>
            <w14:solidFill>
              <w14:schemeClr w14:val="tx1">
                <w14:lumMod w14:val="95000"/>
                <w14:lumOff w14:val="5000"/>
              </w14:schemeClr>
            </w14:solidFill>
          </w14:textFill>
        </w:rPr>
      </w:pPr>
    </w:p>
    <w:p>
      <w:pPr>
        <w:rPr>
          <w:rFonts w:hint="default"/>
          <w:color w:val="0D0D0D" w:themeColor="text1" w:themeTint="F2"/>
          <w:shd w:val="clear"/>
          <w:lang w:val="en-US" w:eastAsia="zh-CN"/>
          <w14:textFill>
            <w14:solidFill>
              <w14:schemeClr w14:val="tx1">
                <w14:lumMod w14:val="95000"/>
                <w14:lumOff w14:val="5000"/>
              </w14:schemeClr>
            </w14:solidFill>
          </w14:textFill>
        </w:rPr>
      </w:pPr>
    </w:p>
    <w:p>
      <w:pPr>
        <w:pStyle w:val="2"/>
        <w:rPr>
          <w:rFonts w:hint="default"/>
          <w:color w:val="0D0D0D" w:themeColor="text1" w:themeTint="F2"/>
          <w:shd w:val="clear"/>
          <w:lang w:val="en-US" w:eastAsia="zh-CN"/>
          <w14:textFill>
            <w14:solidFill>
              <w14:schemeClr w14:val="tx1">
                <w14:lumMod w14:val="95000"/>
                <w14:lumOff w14:val="5000"/>
              </w14:schemeClr>
            </w14:solidFill>
          </w14:textFill>
        </w:rPr>
      </w:pPr>
    </w:p>
    <w:p>
      <w:pPr>
        <w:rPr>
          <w:rFonts w:hint="default"/>
          <w:color w:val="0D0D0D" w:themeColor="text1" w:themeTint="F2"/>
          <w:shd w:val="clear"/>
          <w:lang w:val="en-US" w:eastAsia="zh-CN"/>
          <w14:textFill>
            <w14:solidFill>
              <w14:schemeClr w14:val="tx1">
                <w14:lumMod w14:val="95000"/>
                <w14:lumOff w14:val="5000"/>
              </w14:schemeClr>
            </w14:solidFill>
          </w14:textFill>
        </w:rPr>
      </w:pPr>
    </w:p>
    <w:p>
      <w:pPr>
        <w:pStyle w:val="2"/>
        <w:rPr>
          <w:rFonts w:hint="default"/>
          <w:color w:val="0D0D0D" w:themeColor="text1" w:themeTint="F2"/>
          <w:shd w:val="clear"/>
          <w:lang w:val="en-US" w:eastAsia="zh-CN"/>
          <w14:textFill>
            <w14:solidFill>
              <w14:schemeClr w14:val="tx1">
                <w14:lumMod w14:val="95000"/>
                <w14:lumOff w14:val="5000"/>
              </w14:schemeClr>
            </w14:solidFill>
          </w14:textFill>
        </w:rPr>
      </w:pPr>
    </w:p>
    <w:p>
      <w:pPr>
        <w:rPr>
          <w:rFonts w:hint="default"/>
          <w:color w:val="0D0D0D" w:themeColor="text1" w:themeTint="F2"/>
          <w:shd w:val="clear"/>
          <w:lang w:val="en-US" w:eastAsia="zh-CN"/>
          <w14:textFill>
            <w14:solidFill>
              <w14:schemeClr w14:val="tx1">
                <w14:lumMod w14:val="95000"/>
                <w14:lumOff w14:val="5000"/>
              </w14:schemeClr>
            </w14:solidFill>
          </w14:textFill>
        </w:rPr>
      </w:pPr>
    </w:p>
    <w:p>
      <w:pPr>
        <w:pStyle w:val="2"/>
        <w:rPr>
          <w:rFonts w:hint="default"/>
          <w:color w:val="0D0D0D" w:themeColor="text1" w:themeTint="F2"/>
          <w:shd w:val="clear"/>
          <w:lang w:val="en-US" w:eastAsia="zh-CN"/>
          <w14:textFill>
            <w14:solidFill>
              <w14:schemeClr w14:val="tx1">
                <w14:lumMod w14:val="95000"/>
                <w14:lumOff w14:val="5000"/>
              </w14:schemeClr>
            </w14:solidFill>
          </w14:textFill>
        </w:rPr>
      </w:pPr>
    </w:p>
    <w:p>
      <w:pPr>
        <w:rPr>
          <w:rFonts w:hint="default"/>
          <w:color w:val="0D0D0D" w:themeColor="text1" w:themeTint="F2"/>
          <w:shd w:val="clear"/>
          <w:lang w:val="en-US" w:eastAsia="zh-CN"/>
          <w14:textFill>
            <w14:solidFill>
              <w14:schemeClr w14:val="tx1">
                <w14:lumMod w14:val="95000"/>
                <w14:lumOff w14:val="5000"/>
              </w14:schemeClr>
            </w14:solidFill>
          </w14:textFill>
        </w:rPr>
      </w:pPr>
    </w:p>
    <w:p>
      <w:pPr>
        <w:pStyle w:val="2"/>
        <w:rPr>
          <w:rFonts w:hint="default"/>
          <w:color w:val="0D0D0D" w:themeColor="text1" w:themeTint="F2"/>
          <w:shd w:val="clear"/>
          <w:lang w:val="en-US" w:eastAsia="zh-CN"/>
          <w14:textFill>
            <w14:solidFill>
              <w14:schemeClr w14:val="tx1">
                <w14:lumMod w14:val="95000"/>
                <w14:lumOff w14:val="5000"/>
              </w14:schemeClr>
            </w14:solidFill>
          </w14:textFill>
        </w:rPr>
      </w:pPr>
    </w:p>
    <w:p>
      <w:pPr>
        <w:rPr>
          <w:rFonts w:hint="default"/>
          <w:color w:val="0D0D0D" w:themeColor="text1" w:themeTint="F2"/>
          <w:shd w:val="clear"/>
          <w:lang w:val="en-US" w:eastAsia="zh-CN"/>
          <w14:textFill>
            <w14:solidFill>
              <w14:schemeClr w14:val="tx1">
                <w14:lumMod w14:val="95000"/>
                <w14:lumOff w14:val="5000"/>
              </w14:schemeClr>
            </w14:solidFill>
          </w14:textFill>
        </w:rPr>
      </w:pPr>
    </w:p>
    <w:p>
      <w:pPr>
        <w:pStyle w:val="2"/>
        <w:rPr>
          <w:rFonts w:hint="default"/>
          <w:color w:val="0D0D0D" w:themeColor="text1" w:themeTint="F2"/>
          <w:shd w:val="clear"/>
          <w:lang w:val="en-US" w:eastAsia="zh-CN"/>
          <w14:textFill>
            <w14:solidFill>
              <w14:schemeClr w14:val="tx1">
                <w14:lumMod w14:val="95000"/>
                <w14:lumOff w14:val="5000"/>
              </w14:schemeClr>
            </w14:solidFill>
          </w14:textFill>
        </w:rPr>
      </w:pPr>
    </w:p>
    <w:p>
      <w:pPr>
        <w:rPr>
          <w:rFonts w:hint="default"/>
          <w:color w:val="0D0D0D" w:themeColor="text1" w:themeTint="F2"/>
          <w:shd w:val="clear"/>
          <w:lang w:val="en-US" w:eastAsia="zh-CN"/>
          <w14:textFill>
            <w14:solidFill>
              <w14:schemeClr w14:val="tx1">
                <w14:lumMod w14:val="95000"/>
                <w14:lumOff w14:val="5000"/>
              </w14:schemeClr>
            </w14:solidFill>
          </w14:textFill>
        </w:rPr>
      </w:pPr>
    </w:p>
    <w:p>
      <w:pPr>
        <w:pStyle w:val="2"/>
        <w:rPr>
          <w:rFonts w:hint="default"/>
          <w:color w:val="0D0D0D" w:themeColor="text1" w:themeTint="F2"/>
          <w:shd w:val="clear"/>
          <w:lang w:val="en-US" w:eastAsia="zh-CN"/>
          <w14:textFill>
            <w14:solidFill>
              <w14:schemeClr w14:val="tx1">
                <w14:lumMod w14:val="95000"/>
                <w14:lumOff w14:val="5000"/>
              </w14:schemeClr>
            </w14:solidFill>
          </w14:textFill>
        </w:rPr>
      </w:pPr>
    </w:p>
    <w:p>
      <w:pPr>
        <w:rPr>
          <w:rFonts w:hint="default"/>
          <w:color w:val="0D0D0D" w:themeColor="text1" w:themeTint="F2"/>
          <w:shd w:val="clear"/>
          <w:lang w:val="en-US" w:eastAsia="zh-CN"/>
          <w14:textFill>
            <w14:solidFill>
              <w14:schemeClr w14:val="tx1">
                <w14:lumMod w14:val="95000"/>
                <w14:lumOff w14:val="5000"/>
              </w14:schemeClr>
            </w14:solidFill>
          </w14:textFill>
        </w:rPr>
      </w:pPr>
    </w:p>
    <w:p>
      <w:pPr>
        <w:pStyle w:val="2"/>
        <w:rPr>
          <w:rFonts w:hint="default"/>
          <w:color w:val="0D0D0D" w:themeColor="text1" w:themeTint="F2"/>
          <w:shd w:val="clear"/>
          <w:lang w:val="en-US" w:eastAsia="zh-CN"/>
          <w14:textFill>
            <w14:solidFill>
              <w14:schemeClr w14:val="tx1">
                <w14:lumMod w14:val="95000"/>
                <w14:lumOff w14:val="5000"/>
              </w14:schemeClr>
            </w14:solidFill>
          </w14:textFill>
        </w:rPr>
      </w:pPr>
    </w:p>
    <w:p>
      <w:pPr>
        <w:rPr>
          <w:rFonts w:hint="default"/>
          <w:color w:val="0D0D0D" w:themeColor="text1" w:themeTint="F2"/>
          <w:shd w:val="clear"/>
          <w:lang w:val="en-US"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color w:val="0D0D0D" w:themeColor="text1" w:themeTint="F2"/>
          <w:shd w:val="clear"/>
          <w:lang w:val="en-US" w:eastAsia="zh-CN"/>
          <w14:textFill>
            <w14:solidFill>
              <w14:schemeClr w14:val="tx1">
                <w14:lumMod w14:val="95000"/>
                <w14:lumOff w14:val="5000"/>
              </w14:schemeClr>
            </w14:solidFill>
          </w14:textFill>
        </w:rPr>
      </w:pPr>
    </w:p>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C1CF1"/>
    <w:rsid w:val="002B779F"/>
    <w:rsid w:val="008552E3"/>
    <w:rsid w:val="00925432"/>
    <w:rsid w:val="00A87AD7"/>
    <w:rsid w:val="01865D39"/>
    <w:rsid w:val="024A288E"/>
    <w:rsid w:val="02707DF1"/>
    <w:rsid w:val="02F07987"/>
    <w:rsid w:val="03712A2B"/>
    <w:rsid w:val="03A27DBE"/>
    <w:rsid w:val="04142173"/>
    <w:rsid w:val="04414E1C"/>
    <w:rsid w:val="046569E8"/>
    <w:rsid w:val="0517152D"/>
    <w:rsid w:val="054C3904"/>
    <w:rsid w:val="05E71E1E"/>
    <w:rsid w:val="0630581A"/>
    <w:rsid w:val="06537068"/>
    <w:rsid w:val="065621E3"/>
    <w:rsid w:val="06D04D7A"/>
    <w:rsid w:val="06DA5834"/>
    <w:rsid w:val="0744154A"/>
    <w:rsid w:val="08211E47"/>
    <w:rsid w:val="09211EBF"/>
    <w:rsid w:val="0B094B94"/>
    <w:rsid w:val="0B3A0A73"/>
    <w:rsid w:val="0BD73AFB"/>
    <w:rsid w:val="0CA415C2"/>
    <w:rsid w:val="0CAD2F90"/>
    <w:rsid w:val="0D561669"/>
    <w:rsid w:val="0DBE2450"/>
    <w:rsid w:val="0DF479DF"/>
    <w:rsid w:val="0E454507"/>
    <w:rsid w:val="0E6561BF"/>
    <w:rsid w:val="0EC56F0B"/>
    <w:rsid w:val="0ECB0B61"/>
    <w:rsid w:val="0F884679"/>
    <w:rsid w:val="0FD952CC"/>
    <w:rsid w:val="106E51C5"/>
    <w:rsid w:val="10B553C3"/>
    <w:rsid w:val="10BE573E"/>
    <w:rsid w:val="12294869"/>
    <w:rsid w:val="122B4B9C"/>
    <w:rsid w:val="12D565DF"/>
    <w:rsid w:val="132F5572"/>
    <w:rsid w:val="1345381A"/>
    <w:rsid w:val="135449C6"/>
    <w:rsid w:val="13A53D82"/>
    <w:rsid w:val="13EB01FC"/>
    <w:rsid w:val="148621F7"/>
    <w:rsid w:val="1490303C"/>
    <w:rsid w:val="14A503C9"/>
    <w:rsid w:val="14C23424"/>
    <w:rsid w:val="14DE5474"/>
    <w:rsid w:val="15017906"/>
    <w:rsid w:val="1504011B"/>
    <w:rsid w:val="159A2067"/>
    <w:rsid w:val="16034FD1"/>
    <w:rsid w:val="16BD34C2"/>
    <w:rsid w:val="1750283B"/>
    <w:rsid w:val="17754F45"/>
    <w:rsid w:val="17F5664C"/>
    <w:rsid w:val="17FC5F30"/>
    <w:rsid w:val="184B4DBC"/>
    <w:rsid w:val="185D6A02"/>
    <w:rsid w:val="197F052D"/>
    <w:rsid w:val="19DA3D15"/>
    <w:rsid w:val="1A243BCA"/>
    <w:rsid w:val="1AA43DAD"/>
    <w:rsid w:val="1B2231DB"/>
    <w:rsid w:val="1B9B056F"/>
    <w:rsid w:val="1BD13201"/>
    <w:rsid w:val="1CA62B73"/>
    <w:rsid w:val="1CDF4D5B"/>
    <w:rsid w:val="1D735BFD"/>
    <w:rsid w:val="1DCC7FE0"/>
    <w:rsid w:val="1E117EB9"/>
    <w:rsid w:val="1E4C3977"/>
    <w:rsid w:val="1EAD5F54"/>
    <w:rsid w:val="1EC12CDB"/>
    <w:rsid w:val="1ECB268D"/>
    <w:rsid w:val="1EEF57C2"/>
    <w:rsid w:val="1FC52379"/>
    <w:rsid w:val="205E6D11"/>
    <w:rsid w:val="20C4085C"/>
    <w:rsid w:val="216402BB"/>
    <w:rsid w:val="21BA4C53"/>
    <w:rsid w:val="21E079D1"/>
    <w:rsid w:val="22131B65"/>
    <w:rsid w:val="224B075C"/>
    <w:rsid w:val="227D2462"/>
    <w:rsid w:val="231C1A92"/>
    <w:rsid w:val="233073C9"/>
    <w:rsid w:val="23747C5A"/>
    <w:rsid w:val="23DC2278"/>
    <w:rsid w:val="24AA6F38"/>
    <w:rsid w:val="24AC67AB"/>
    <w:rsid w:val="24CC737E"/>
    <w:rsid w:val="25534856"/>
    <w:rsid w:val="25606966"/>
    <w:rsid w:val="25622F33"/>
    <w:rsid w:val="25CB27B7"/>
    <w:rsid w:val="25E14189"/>
    <w:rsid w:val="26576D38"/>
    <w:rsid w:val="26660A3B"/>
    <w:rsid w:val="26833017"/>
    <w:rsid w:val="270619EA"/>
    <w:rsid w:val="278B7A9C"/>
    <w:rsid w:val="28136468"/>
    <w:rsid w:val="282620EB"/>
    <w:rsid w:val="29211319"/>
    <w:rsid w:val="294E6D88"/>
    <w:rsid w:val="296D13D3"/>
    <w:rsid w:val="2A2311DA"/>
    <w:rsid w:val="2A67443C"/>
    <w:rsid w:val="2B082A02"/>
    <w:rsid w:val="2B606E2C"/>
    <w:rsid w:val="2B906DC4"/>
    <w:rsid w:val="2C424825"/>
    <w:rsid w:val="2D557667"/>
    <w:rsid w:val="2D7E278C"/>
    <w:rsid w:val="2E6E4A8E"/>
    <w:rsid w:val="2EB36BC9"/>
    <w:rsid w:val="2EBF1EC0"/>
    <w:rsid w:val="2F6F568E"/>
    <w:rsid w:val="2F8E2245"/>
    <w:rsid w:val="2FBD25A3"/>
    <w:rsid w:val="30602A2A"/>
    <w:rsid w:val="30841D86"/>
    <w:rsid w:val="31FB5C71"/>
    <w:rsid w:val="31FE6777"/>
    <w:rsid w:val="328C5871"/>
    <w:rsid w:val="32B30C83"/>
    <w:rsid w:val="333B1F4D"/>
    <w:rsid w:val="33510806"/>
    <w:rsid w:val="33780034"/>
    <w:rsid w:val="33993A35"/>
    <w:rsid w:val="339F54EE"/>
    <w:rsid w:val="33F36EFE"/>
    <w:rsid w:val="33F90886"/>
    <w:rsid w:val="3474109D"/>
    <w:rsid w:val="34F4569D"/>
    <w:rsid w:val="350D6AC4"/>
    <w:rsid w:val="35C77B48"/>
    <w:rsid w:val="367827DC"/>
    <w:rsid w:val="36D34440"/>
    <w:rsid w:val="36D70B81"/>
    <w:rsid w:val="3783723D"/>
    <w:rsid w:val="37A41E3E"/>
    <w:rsid w:val="37CC7364"/>
    <w:rsid w:val="37DE1111"/>
    <w:rsid w:val="37FA2F4C"/>
    <w:rsid w:val="393131A8"/>
    <w:rsid w:val="399F1597"/>
    <w:rsid w:val="3A090184"/>
    <w:rsid w:val="3A766784"/>
    <w:rsid w:val="3A9027EB"/>
    <w:rsid w:val="3ACA125C"/>
    <w:rsid w:val="3B0D42EF"/>
    <w:rsid w:val="3CD95762"/>
    <w:rsid w:val="3CE151E8"/>
    <w:rsid w:val="3D436879"/>
    <w:rsid w:val="3D7F5F4A"/>
    <w:rsid w:val="3D9E11A4"/>
    <w:rsid w:val="3E0F355C"/>
    <w:rsid w:val="3E314CB1"/>
    <w:rsid w:val="3E9A029F"/>
    <w:rsid w:val="3F4A4EDD"/>
    <w:rsid w:val="403615F9"/>
    <w:rsid w:val="403C5D43"/>
    <w:rsid w:val="407E06EE"/>
    <w:rsid w:val="40F146D7"/>
    <w:rsid w:val="412A35D6"/>
    <w:rsid w:val="41E038B1"/>
    <w:rsid w:val="41FE0B7E"/>
    <w:rsid w:val="427F5F63"/>
    <w:rsid w:val="42FD561B"/>
    <w:rsid w:val="442672AF"/>
    <w:rsid w:val="45CC1B09"/>
    <w:rsid w:val="46757875"/>
    <w:rsid w:val="469066D4"/>
    <w:rsid w:val="46B15593"/>
    <w:rsid w:val="470A471E"/>
    <w:rsid w:val="4730374C"/>
    <w:rsid w:val="4763080A"/>
    <w:rsid w:val="48286773"/>
    <w:rsid w:val="482B41E7"/>
    <w:rsid w:val="48401490"/>
    <w:rsid w:val="486B4244"/>
    <w:rsid w:val="48B2172E"/>
    <w:rsid w:val="48E808E4"/>
    <w:rsid w:val="494243A2"/>
    <w:rsid w:val="4A854037"/>
    <w:rsid w:val="4AB3134F"/>
    <w:rsid w:val="4AC00941"/>
    <w:rsid w:val="4AC22CF5"/>
    <w:rsid w:val="4B166A6B"/>
    <w:rsid w:val="4BC923F8"/>
    <w:rsid w:val="4C105863"/>
    <w:rsid w:val="4C124FB0"/>
    <w:rsid w:val="4C1C1BBB"/>
    <w:rsid w:val="4C7B344C"/>
    <w:rsid w:val="4C8B10F9"/>
    <w:rsid w:val="4CEA6DD5"/>
    <w:rsid w:val="4D237480"/>
    <w:rsid w:val="4D2F6E29"/>
    <w:rsid w:val="4D7B2F6A"/>
    <w:rsid w:val="4D91095F"/>
    <w:rsid w:val="4DF52C9A"/>
    <w:rsid w:val="4ECC6B14"/>
    <w:rsid w:val="4EE9633C"/>
    <w:rsid w:val="4F5E69B4"/>
    <w:rsid w:val="4FEF5E97"/>
    <w:rsid w:val="50AC1874"/>
    <w:rsid w:val="515209FB"/>
    <w:rsid w:val="51DB7559"/>
    <w:rsid w:val="51F45E57"/>
    <w:rsid w:val="52711ED7"/>
    <w:rsid w:val="52F25467"/>
    <w:rsid w:val="538D5D45"/>
    <w:rsid w:val="53A12DD7"/>
    <w:rsid w:val="54A238A1"/>
    <w:rsid w:val="556A3AC8"/>
    <w:rsid w:val="55C53148"/>
    <w:rsid w:val="56854B13"/>
    <w:rsid w:val="569C72F1"/>
    <w:rsid w:val="56FA032B"/>
    <w:rsid w:val="56FA6CDF"/>
    <w:rsid w:val="572E7A3D"/>
    <w:rsid w:val="57AD5883"/>
    <w:rsid w:val="57C46226"/>
    <w:rsid w:val="580F7688"/>
    <w:rsid w:val="58B74351"/>
    <w:rsid w:val="58D64C47"/>
    <w:rsid w:val="59510507"/>
    <w:rsid w:val="5A162A25"/>
    <w:rsid w:val="5A231E28"/>
    <w:rsid w:val="5A5738A0"/>
    <w:rsid w:val="5A707A78"/>
    <w:rsid w:val="5B9D6F00"/>
    <w:rsid w:val="5BB50B9A"/>
    <w:rsid w:val="5C0F2B4B"/>
    <w:rsid w:val="5D0E7084"/>
    <w:rsid w:val="5D0F362B"/>
    <w:rsid w:val="5E013AE5"/>
    <w:rsid w:val="5E044F79"/>
    <w:rsid w:val="5E4369D0"/>
    <w:rsid w:val="5E6C1CF1"/>
    <w:rsid w:val="5F4D4A35"/>
    <w:rsid w:val="5F7731CD"/>
    <w:rsid w:val="5FC9250D"/>
    <w:rsid w:val="5FFE2D61"/>
    <w:rsid w:val="60206FBE"/>
    <w:rsid w:val="60487AC0"/>
    <w:rsid w:val="60C100E9"/>
    <w:rsid w:val="60E133DC"/>
    <w:rsid w:val="615F7F8C"/>
    <w:rsid w:val="61E9511F"/>
    <w:rsid w:val="623F65BB"/>
    <w:rsid w:val="62795C23"/>
    <w:rsid w:val="635254D7"/>
    <w:rsid w:val="63CB01FD"/>
    <w:rsid w:val="641B663C"/>
    <w:rsid w:val="64236785"/>
    <w:rsid w:val="64A50A8B"/>
    <w:rsid w:val="65312919"/>
    <w:rsid w:val="65C129DC"/>
    <w:rsid w:val="678323EC"/>
    <w:rsid w:val="67BB1A9C"/>
    <w:rsid w:val="68063F9A"/>
    <w:rsid w:val="680D378B"/>
    <w:rsid w:val="68BE3F29"/>
    <w:rsid w:val="68DC1A4C"/>
    <w:rsid w:val="69762941"/>
    <w:rsid w:val="698C7E16"/>
    <w:rsid w:val="69A9539A"/>
    <w:rsid w:val="6A6D611A"/>
    <w:rsid w:val="6A9C77E3"/>
    <w:rsid w:val="6ADC45ED"/>
    <w:rsid w:val="6B254FBD"/>
    <w:rsid w:val="6B2B2826"/>
    <w:rsid w:val="6B9C63A0"/>
    <w:rsid w:val="6BD4355C"/>
    <w:rsid w:val="6BE026F3"/>
    <w:rsid w:val="6BFB65B3"/>
    <w:rsid w:val="6C5F6775"/>
    <w:rsid w:val="6CCA5179"/>
    <w:rsid w:val="6CE106F2"/>
    <w:rsid w:val="6DFB6E48"/>
    <w:rsid w:val="6F0823A1"/>
    <w:rsid w:val="6FB26243"/>
    <w:rsid w:val="70130965"/>
    <w:rsid w:val="7020464C"/>
    <w:rsid w:val="705F56DA"/>
    <w:rsid w:val="70D52434"/>
    <w:rsid w:val="713D5640"/>
    <w:rsid w:val="71A17326"/>
    <w:rsid w:val="72C70058"/>
    <w:rsid w:val="74937F41"/>
    <w:rsid w:val="74B75FC4"/>
    <w:rsid w:val="7568162A"/>
    <w:rsid w:val="75E35B36"/>
    <w:rsid w:val="7643278D"/>
    <w:rsid w:val="766F79BF"/>
    <w:rsid w:val="76875447"/>
    <w:rsid w:val="76A7792F"/>
    <w:rsid w:val="77347B41"/>
    <w:rsid w:val="78021FA2"/>
    <w:rsid w:val="785538D5"/>
    <w:rsid w:val="78A15597"/>
    <w:rsid w:val="78B26218"/>
    <w:rsid w:val="78BC2219"/>
    <w:rsid w:val="7922600B"/>
    <w:rsid w:val="795C68F8"/>
    <w:rsid w:val="7A1413C6"/>
    <w:rsid w:val="7B852163"/>
    <w:rsid w:val="7BC370C3"/>
    <w:rsid w:val="7C775DB7"/>
    <w:rsid w:val="7DA810DF"/>
    <w:rsid w:val="7DA86B39"/>
    <w:rsid w:val="7DC21A6D"/>
    <w:rsid w:val="7E457530"/>
    <w:rsid w:val="7E8B2A42"/>
    <w:rsid w:val="7E8C696C"/>
    <w:rsid w:val="7EFB5AB9"/>
    <w:rsid w:val="7F891C09"/>
    <w:rsid w:val="7F8E42D2"/>
    <w:rsid w:val="7F90501F"/>
    <w:rsid w:val="7FB75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560" w:lineRule="exact"/>
    </w:pPr>
    <w:rPr>
      <w:rFonts w:eastAsia="仿宋_GB2312"/>
      <w:sz w:val="32"/>
    </w:rPr>
  </w:style>
  <w:style w:type="paragraph" w:styleId="3">
    <w:name w:val="Body Text Indent"/>
    <w:basedOn w:val="1"/>
    <w:qFormat/>
    <w:uiPriority w:val="0"/>
    <w:pPr>
      <w:ind w:firstLine="720" w:firstLineChars="225"/>
    </w:pPr>
    <w:rPr>
      <w:rFonts w:ascii="Times New Roman" w:hAnsi="Times New Roman" w:eastAsia="仿宋_GB2312"/>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qFormat/>
    <w:uiPriority w:val="0"/>
    <w:pPr>
      <w:spacing w:before="240" w:after="60"/>
      <w:jc w:val="center"/>
      <w:outlineLvl w:val="0"/>
    </w:pPr>
    <w:rPr>
      <w:rFonts w:ascii="Arial" w:hAnsi="Arial" w:cs="Arial"/>
      <w:b/>
      <w:bCs/>
      <w:sz w:val="32"/>
      <w:szCs w:val="32"/>
    </w:rPr>
  </w:style>
  <w:style w:type="paragraph" w:styleId="8">
    <w:name w:val="Body Text First Indent 2"/>
    <w:basedOn w:val="3"/>
    <w:next w:val="1"/>
    <w:qFormat/>
    <w:uiPriority w:val="0"/>
    <w:pPr>
      <w:spacing w:after="120" w:afterLines="0"/>
      <w:ind w:left="200" w:leftChars="200" w:firstLine="420"/>
    </w:pPr>
    <w:rPr>
      <w:rFonts w:ascii="Times New Roman"/>
    </w:rPr>
  </w:style>
  <w:style w:type="character" w:styleId="11">
    <w:name w:val="Strong"/>
    <w:basedOn w:val="10"/>
    <w:qFormat/>
    <w:uiPriority w:val="0"/>
    <w:rPr>
      <w:b/>
    </w:rPr>
  </w:style>
  <w:style w:type="character" w:styleId="12">
    <w:name w:val="FollowedHyperlink"/>
    <w:basedOn w:val="10"/>
    <w:qFormat/>
    <w:uiPriority w:val="0"/>
    <w:rPr>
      <w:color w:val="313131"/>
      <w:u w:val="none"/>
    </w:rPr>
  </w:style>
  <w:style w:type="character" w:styleId="13">
    <w:name w:val="Hyperlink"/>
    <w:basedOn w:val="10"/>
    <w:qFormat/>
    <w:uiPriority w:val="0"/>
    <w:rPr>
      <w:color w:val="31313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2021-02-05T05:53:00Z</dcterms:created>
  <dc:creator>pc</dc:creator>
  <cp:lastModifiedBy>lenovo</cp:lastModifiedBy>
  <cp:lastPrinted>2021-04-06T06:35:00Z</cp:lastPrinted>
  <dcterms:modified xsi:type="dcterms:W3CDTF">2021-04-28T03:19:04Z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EE0FA9C40AA64CC39281DE97F7E79BE8</vt:lpwstr>
  </property>
</Properties>
</file>