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FA" w:rsidRDefault="002E43FA" w:rsidP="002E43FA">
      <w:pPr>
        <w:tabs>
          <w:tab w:val="left" w:pos="7371"/>
        </w:tabs>
        <w:adjustRightInd w:val="0"/>
        <w:snapToGrid w:val="0"/>
        <w:spacing w:line="540" w:lineRule="exact"/>
        <w:rPr>
          <w:rFonts w:eastAsia="仿宋_GB2312"/>
          <w:color w:val="000000" w:themeColor="text1"/>
          <w:sz w:val="28"/>
          <w:szCs w:val="28"/>
        </w:rPr>
      </w:pPr>
      <w:bookmarkStart w:id="0" w:name="OLE_LINK4"/>
      <w:r>
        <w:rPr>
          <w:rFonts w:eastAsia="黑体"/>
          <w:color w:val="000000" w:themeColor="text1"/>
          <w:szCs w:val="32"/>
        </w:rPr>
        <w:t>附件</w:t>
      </w:r>
      <w:r>
        <w:rPr>
          <w:rFonts w:eastAsia="黑体"/>
          <w:color w:val="000000" w:themeColor="text1"/>
          <w:szCs w:val="32"/>
        </w:rPr>
        <w:t>2</w:t>
      </w:r>
    </w:p>
    <w:p w:rsidR="002E43FA" w:rsidRDefault="002E43FA" w:rsidP="002E43FA">
      <w:pPr>
        <w:spacing w:line="600" w:lineRule="exact"/>
        <w:jc w:val="center"/>
        <w:rPr>
          <w:rFonts w:eastAsia="方正小标宋_GBK"/>
          <w:color w:val="000000" w:themeColor="text1"/>
          <w:sz w:val="36"/>
          <w:szCs w:val="36"/>
        </w:rPr>
      </w:pPr>
      <w:bookmarkStart w:id="1" w:name="OLE_LINK8"/>
      <w:bookmarkEnd w:id="0"/>
      <w:r>
        <w:rPr>
          <w:rFonts w:eastAsia="方正小标宋_GBK"/>
          <w:color w:val="000000" w:themeColor="text1"/>
          <w:sz w:val="36"/>
          <w:szCs w:val="36"/>
        </w:rPr>
        <w:t>县十届人大一次会议代表建议</w:t>
      </w:r>
      <w:r>
        <w:rPr>
          <w:rFonts w:eastAsia="方正小标宋_GBK" w:hint="eastAsia"/>
          <w:color w:val="000000" w:themeColor="text1"/>
          <w:sz w:val="36"/>
          <w:szCs w:val="36"/>
        </w:rPr>
        <w:t>办理情况一览表</w:t>
      </w:r>
    </w:p>
    <w:tbl>
      <w:tblPr>
        <w:tblStyle w:val="a4"/>
        <w:tblW w:w="15251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1251"/>
        <w:gridCol w:w="3082"/>
        <w:gridCol w:w="1315"/>
        <w:gridCol w:w="1513"/>
        <w:gridCol w:w="4208"/>
        <w:gridCol w:w="2577"/>
        <w:gridCol w:w="1305"/>
      </w:tblGrid>
      <w:tr w:rsidR="002E43FA" w:rsidTr="00290E89">
        <w:trPr>
          <w:trHeight w:val="534"/>
          <w:tblHeader/>
          <w:jc w:val="center"/>
        </w:trPr>
        <w:tc>
          <w:tcPr>
            <w:tcW w:w="1251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3082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</w:rPr>
              <w:t>建议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</w:rPr>
              <w:t>名称</w:t>
            </w:r>
          </w:p>
        </w:tc>
        <w:tc>
          <w:tcPr>
            <w:tcW w:w="1315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</w:rPr>
              <w:t>承办单位</w:t>
            </w:r>
          </w:p>
        </w:tc>
        <w:tc>
          <w:tcPr>
            <w:tcW w:w="1513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</w:rPr>
              <w:t>协办单位</w:t>
            </w:r>
          </w:p>
        </w:tc>
        <w:tc>
          <w:tcPr>
            <w:tcW w:w="4208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</w:rPr>
              <w:t>进展情况</w:t>
            </w:r>
          </w:p>
        </w:tc>
        <w:tc>
          <w:tcPr>
            <w:tcW w:w="2577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</w:rPr>
              <w:t>存在问题及原因</w:t>
            </w:r>
          </w:p>
        </w:tc>
        <w:tc>
          <w:tcPr>
            <w:tcW w:w="1305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</w:rPr>
              <w:t>沟通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</w:rPr>
              <w:t>/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</w:rPr>
              <w:t>答复情况</w:t>
            </w:r>
          </w:p>
        </w:tc>
      </w:tr>
      <w:tr w:rsidR="002E43FA" w:rsidTr="00290E89">
        <w:trPr>
          <w:trHeight w:val="6174"/>
          <w:jc w:val="center"/>
        </w:trPr>
        <w:tc>
          <w:tcPr>
            <w:tcW w:w="1251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第</w:t>
            </w:r>
            <w:r>
              <w:rPr>
                <w:rFonts w:eastAsia="仿宋_GB2312"/>
                <w:color w:val="000000" w:themeColor="text1"/>
                <w:sz w:val="24"/>
              </w:rPr>
              <w:t>19</w:t>
            </w:r>
            <w:r>
              <w:rPr>
                <w:rFonts w:eastAsia="仿宋_GB2312"/>
                <w:color w:val="000000" w:themeColor="text1"/>
                <w:sz w:val="24"/>
              </w:rPr>
              <w:t>号</w:t>
            </w:r>
          </w:p>
        </w:tc>
        <w:tc>
          <w:tcPr>
            <w:tcW w:w="3082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lef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关于</w:t>
            </w:r>
            <w:proofErr w:type="gramStart"/>
            <w:r>
              <w:rPr>
                <w:rFonts w:eastAsia="仿宋_GB2312"/>
                <w:color w:val="000000" w:themeColor="text1"/>
                <w:sz w:val="24"/>
              </w:rPr>
              <w:t>在罗洼乡</w:t>
            </w:r>
            <w:proofErr w:type="gramEnd"/>
            <w:r>
              <w:rPr>
                <w:rFonts w:eastAsia="仿宋_GB2312"/>
                <w:color w:val="000000" w:themeColor="text1"/>
                <w:sz w:val="24"/>
              </w:rPr>
              <w:t>街道电管站及乡政府门口安装限速摄像头的建议</w:t>
            </w:r>
          </w:p>
        </w:tc>
        <w:tc>
          <w:tcPr>
            <w:tcW w:w="1315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公安局</w:t>
            </w:r>
          </w:p>
        </w:tc>
        <w:tc>
          <w:tcPr>
            <w:tcW w:w="1513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proofErr w:type="gramStart"/>
            <w:r>
              <w:rPr>
                <w:rFonts w:eastAsia="仿宋_GB2312"/>
                <w:color w:val="000000" w:themeColor="text1"/>
                <w:sz w:val="24"/>
              </w:rPr>
              <w:t>罗洼乡</w:t>
            </w:r>
            <w:proofErr w:type="gramEnd"/>
          </w:p>
        </w:tc>
        <w:tc>
          <w:tcPr>
            <w:tcW w:w="4208" w:type="dxa"/>
            <w:vAlign w:val="center"/>
          </w:tcPr>
          <w:p w:rsidR="002E43FA" w:rsidRPr="009F3D44" w:rsidRDefault="002E43FA" w:rsidP="00290E89">
            <w:pPr>
              <w:widowControl/>
              <w:autoSpaceDN w:val="0"/>
              <w:spacing w:beforeLines="50"/>
              <w:ind w:firstLine="629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9F3D44">
              <w:rPr>
                <w:rFonts w:eastAsia="仿宋_GB2312" w:hint="eastAsia"/>
                <w:color w:val="000000" w:themeColor="text1"/>
                <w:sz w:val="24"/>
              </w:rPr>
              <w:t>第一时间组织人员</w:t>
            </w:r>
            <w:proofErr w:type="gramStart"/>
            <w:r w:rsidRPr="009F3D44">
              <w:rPr>
                <w:rFonts w:eastAsia="仿宋_GB2312" w:hint="eastAsia"/>
                <w:color w:val="000000" w:themeColor="text1"/>
                <w:sz w:val="24"/>
              </w:rPr>
              <w:t>对罗洼乡</w:t>
            </w:r>
            <w:proofErr w:type="gramEnd"/>
            <w:r w:rsidRPr="009F3D44">
              <w:rPr>
                <w:rFonts w:eastAsia="仿宋_GB2312" w:hint="eastAsia"/>
                <w:color w:val="000000" w:themeColor="text1"/>
                <w:sz w:val="24"/>
              </w:rPr>
              <w:t>街道道路交通状况进行了全面分析评估，该路段已于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2021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年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10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月安装了红绿灯和电子警察设备一套，按照公安部有关国省道车辆限速不得低于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70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的要求，该路段暂不适宜安装限速设备，同时为有效预防道路交通事故发生，我局交管大队将积极完善有关人行横道、斑马线等交通设施，进一步强化管控措施，切实规范车辆安全通行。</w:t>
            </w:r>
          </w:p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577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266118">
              <w:rPr>
                <w:rFonts w:eastAsia="仿宋_GB2312" w:hint="eastAsia"/>
                <w:b/>
                <w:color w:val="000000" w:themeColor="text1"/>
                <w:sz w:val="24"/>
              </w:rPr>
              <w:t>问题：</w:t>
            </w:r>
            <w:r>
              <w:rPr>
                <w:rFonts w:eastAsia="仿宋_GB2312" w:hint="eastAsia"/>
                <w:color w:val="000000" w:themeColor="text1"/>
                <w:sz w:val="24"/>
              </w:rPr>
              <w:t>不适宜安装限速设备</w:t>
            </w:r>
          </w:p>
          <w:p w:rsidR="002E43FA" w:rsidRPr="00266118" w:rsidRDefault="002E43FA" w:rsidP="00290E89">
            <w:pPr>
              <w:pStyle w:val="2"/>
              <w:outlineLvl w:val="1"/>
              <w:rPr>
                <w:rFonts w:hint="default"/>
              </w:rPr>
            </w:pPr>
            <w:r w:rsidRPr="00266118">
              <w:rPr>
                <w:rFonts w:ascii="Times New Roman" w:eastAsia="仿宋_GB2312" w:hAnsi="Times New Roman" w:cs="Times New Roman"/>
                <w:color w:val="000000" w:themeColor="text1"/>
                <w:kern w:val="2"/>
                <w:sz w:val="24"/>
                <w:szCs w:val="24"/>
              </w:rPr>
              <w:t>原因：</w:t>
            </w:r>
            <w:r w:rsidRPr="00266118">
              <w:rPr>
                <w:rFonts w:ascii="Times New Roman" w:eastAsia="仿宋_GB2312" w:hAnsi="Times New Roman" w:cs="Times New Roman"/>
                <w:b w:val="0"/>
                <w:color w:val="000000" w:themeColor="text1"/>
                <w:kern w:val="2"/>
                <w:sz w:val="24"/>
                <w:szCs w:val="24"/>
              </w:rPr>
              <w:t>该路段为国省道，按照公安部有关规定，车辆限速不得低于</w:t>
            </w:r>
            <w:r w:rsidRPr="00266118">
              <w:rPr>
                <w:rFonts w:ascii="Times New Roman" w:eastAsia="仿宋_GB2312" w:hAnsi="Times New Roman" w:cs="Times New Roman"/>
                <w:b w:val="0"/>
                <w:color w:val="000000" w:themeColor="text1"/>
                <w:kern w:val="2"/>
                <w:sz w:val="24"/>
                <w:szCs w:val="24"/>
              </w:rPr>
              <w:t>70km/h</w:t>
            </w:r>
            <w:r w:rsidRPr="00266118">
              <w:rPr>
                <w:rFonts w:ascii="Times New Roman" w:eastAsia="仿宋_GB2312" w:hAnsi="Times New Roman" w:cs="Times New Roman"/>
                <w:b w:val="0"/>
                <w:color w:val="000000" w:themeColor="text1"/>
                <w:kern w:val="2"/>
                <w:sz w:val="24"/>
                <w:szCs w:val="24"/>
              </w:rPr>
              <w:t>。同时该路段已安装</w:t>
            </w:r>
            <w:proofErr w:type="gramStart"/>
            <w:r w:rsidRPr="00266118">
              <w:rPr>
                <w:rFonts w:ascii="Times New Roman" w:eastAsia="仿宋_GB2312" w:hAnsi="Times New Roman" w:cs="Times New Roman"/>
                <w:b w:val="0"/>
                <w:color w:val="000000" w:themeColor="text1"/>
                <w:kern w:val="2"/>
                <w:sz w:val="24"/>
                <w:szCs w:val="24"/>
              </w:rPr>
              <w:t>一</w:t>
            </w:r>
            <w:proofErr w:type="gramEnd"/>
            <w:r w:rsidRPr="00266118">
              <w:rPr>
                <w:rFonts w:ascii="Times New Roman" w:eastAsia="仿宋_GB2312" w:hAnsi="Times New Roman" w:cs="Times New Roman"/>
                <w:b w:val="0"/>
                <w:color w:val="000000" w:themeColor="text1"/>
                <w:kern w:val="2"/>
                <w:sz w:val="24"/>
                <w:szCs w:val="24"/>
              </w:rPr>
              <w:t>套红绿灯和电子警察设备</w:t>
            </w:r>
            <w:r>
              <w:rPr>
                <w:rFonts w:ascii="Times New Roman" w:eastAsia="仿宋_GB2312" w:hAnsi="Times New Roman" w:cs="Times New Roman"/>
                <w:b w:val="0"/>
                <w:color w:val="000000" w:themeColor="text1"/>
                <w:kern w:val="2"/>
                <w:sz w:val="24"/>
                <w:szCs w:val="24"/>
              </w:rPr>
              <w:t>，安装限速设备可能造成潜在资源浪费。</w:t>
            </w:r>
          </w:p>
        </w:tc>
        <w:tc>
          <w:tcPr>
            <w:tcW w:w="1305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已与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提案代表进行了沟通</w:t>
            </w:r>
          </w:p>
        </w:tc>
      </w:tr>
    </w:tbl>
    <w:p w:rsidR="002E43FA" w:rsidRDefault="002E43FA" w:rsidP="002E43FA">
      <w:pPr>
        <w:tabs>
          <w:tab w:val="left" w:pos="7371"/>
        </w:tabs>
        <w:adjustRightInd w:val="0"/>
        <w:snapToGrid w:val="0"/>
        <w:spacing w:line="540" w:lineRule="exact"/>
        <w:rPr>
          <w:rFonts w:eastAsia="黑体"/>
          <w:color w:val="000000" w:themeColor="text1"/>
          <w:szCs w:val="32"/>
        </w:rPr>
      </w:pPr>
    </w:p>
    <w:p w:rsidR="002E43FA" w:rsidRDefault="002E43FA" w:rsidP="002E43FA">
      <w:pPr>
        <w:tabs>
          <w:tab w:val="left" w:pos="7371"/>
        </w:tabs>
        <w:adjustRightInd w:val="0"/>
        <w:snapToGrid w:val="0"/>
        <w:spacing w:line="540" w:lineRule="exact"/>
        <w:rPr>
          <w:rFonts w:eastAsia="黑体"/>
          <w:color w:val="000000" w:themeColor="text1"/>
          <w:szCs w:val="32"/>
        </w:rPr>
      </w:pPr>
      <w:r>
        <w:rPr>
          <w:rFonts w:eastAsia="黑体"/>
          <w:color w:val="000000" w:themeColor="text1"/>
          <w:szCs w:val="32"/>
        </w:rPr>
        <w:lastRenderedPageBreak/>
        <w:t>附件</w:t>
      </w:r>
      <w:r>
        <w:rPr>
          <w:rFonts w:eastAsia="黑体"/>
          <w:color w:val="000000" w:themeColor="text1"/>
          <w:szCs w:val="32"/>
        </w:rPr>
        <w:t>3</w:t>
      </w:r>
    </w:p>
    <w:p w:rsidR="002E43FA" w:rsidRDefault="002E43FA" w:rsidP="002E43FA">
      <w:pPr>
        <w:tabs>
          <w:tab w:val="left" w:pos="7371"/>
        </w:tabs>
        <w:adjustRightInd w:val="0"/>
        <w:snapToGrid w:val="0"/>
        <w:spacing w:line="540" w:lineRule="exact"/>
        <w:jc w:val="center"/>
        <w:rPr>
          <w:rFonts w:eastAsia="方正小标宋_GBK"/>
          <w:color w:val="000000" w:themeColor="text1"/>
          <w:sz w:val="36"/>
          <w:szCs w:val="36"/>
        </w:rPr>
      </w:pPr>
      <w:r>
        <w:rPr>
          <w:rFonts w:eastAsia="方正小标宋_GBK"/>
          <w:color w:val="000000" w:themeColor="text1"/>
          <w:sz w:val="36"/>
          <w:szCs w:val="36"/>
        </w:rPr>
        <w:t>县政协十届一次会议委员提案</w:t>
      </w:r>
      <w:r>
        <w:rPr>
          <w:rFonts w:eastAsia="方正小标宋_GBK" w:hint="eastAsia"/>
          <w:color w:val="000000" w:themeColor="text1"/>
          <w:sz w:val="36"/>
          <w:szCs w:val="36"/>
        </w:rPr>
        <w:t>办理情况一览表</w:t>
      </w:r>
    </w:p>
    <w:tbl>
      <w:tblPr>
        <w:tblStyle w:val="a4"/>
        <w:tblW w:w="15251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1251"/>
        <w:gridCol w:w="1523"/>
        <w:gridCol w:w="708"/>
        <w:gridCol w:w="851"/>
        <w:gridCol w:w="5245"/>
        <w:gridCol w:w="4677"/>
        <w:gridCol w:w="996"/>
      </w:tblGrid>
      <w:tr w:rsidR="002E43FA" w:rsidTr="00290E89">
        <w:trPr>
          <w:trHeight w:val="534"/>
          <w:tblHeader/>
          <w:jc w:val="center"/>
        </w:trPr>
        <w:tc>
          <w:tcPr>
            <w:tcW w:w="1251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1523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</w:rPr>
              <w:t>提案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</w:rPr>
              <w:t>名称</w:t>
            </w:r>
          </w:p>
        </w:tc>
        <w:tc>
          <w:tcPr>
            <w:tcW w:w="708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</w:rPr>
              <w:t>承办单位</w:t>
            </w:r>
          </w:p>
        </w:tc>
        <w:tc>
          <w:tcPr>
            <w:tcW w:w="851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</w:rPr>
              <w:t>协办单位</w:t>
            </w:r>
          </w:p>
        </w:tc>
        <w:tc>
          <w:tcPr>
            <w:tcW w:w="5245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</w:rPr>
              <w:t>进展情况</w:t>
            </w:r>
          </w:p>
        </w:tc>
        <w:tc>
          <w:tcPr>
            <w:tcW w:w="4677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</w:rPr>
              <w:t>存在问题及原因</w:t>
            </w:r>
          </w:p>
        </w:tc>
        <w:tc>
          <w:tcPr>
            <w:tcW w:w="996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</w:rPr>
              <w:t>沟通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</w:rPr>
              <w:t>/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</w:rPr>
              <w:t>答复情况</w:t>
            </w:r>
          </w:p>
        </w:tc>
      </w:tr>
      <w:tr w:rsidR="002E43FA" w:rsidTr="00290E89">
        <w:trPr>
          <w:trHeight w:val="2389"/>
          <w:jc w:val="center"/>
        </w:trPr>
        <w:tc>
          <w:tcPr>
            <w:tcW w:w="1251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第</w:t>
            </w:r>
            <w:r>
              <w:rPr>
                <w:rFonts w:eastAsia="仿宋_GB2312"/>
                <w:color w:val="000000" w:themeColor="text1"/>
                <w:sz w:val="24"/>
              </w:rPr>
              <w:t>2</w:t>
            </w:r>
            <w:r>
              <w:rPr>
                <w:rFonts w:eastAsia="仿宋_GB2312" w:hint="eastAsia"/>
                <w:color w:val="000000" w:themeColor="text1"/>
                <w:sz w:val="24"/>
              </w:rPr>
              <w:t>6</w:t>
            </w:r>
            <w:r>
              <w:rPr>
                <w:rFonts w:eastAsia="仿宋_GB2312"/>
                <w:color w:val="000000" w:themeColor="text1"/>
                <w:sz w:val="24"/>
              </w:rPr>
              <w:t>号</w:t>
            </w:r>
          </w:p>
        </w:tc>
        <w:tc>
          <w:tcPr>
            <w:tcW w:w="1523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关于构建全民反诈防骗新格局，共同守护群众的钱袋子的提案</w:t>
            </w:r>
          </w:p>
        </w:tc>
        <w:tc>
          <w:tcPr>
            <w:tcW w:w="708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公安局</w:t>
            </w:r>
          </w:p>
        </w:tc>
        <w:tc>
          <w:tcPr>
            <w:tcW w:w="851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宣传部</w:t>
            </w:r>
            <w:r>
              <w:rPr>
                <w:rFonts w:eastAsia="仿宋_GB2312"/>
                <w:color w:val="000000" w:themeColor="text1"/>
                <w:sz w:val="24"/>
              </w:rPr>
              <w:br/>
            </w:r>
            <w:r>
              <w:rPr>
                <w:rFonts w:eastAsia="仿宋_GB2312"/>
                <w:color w:val="000000" w:themeColor="text1"/>
                <w:sz w:val="24"/>
              </w:rPr>
              <w:t>司法局</w:t>
            </w:r>
          </w:p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各乡镇</w:t>
            </w:r>
          </w:p>
        </w:tc>
        <w:tc>
          <w:tcPr>
            <w:tcW w:w="5245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left"/>
              <w:rPr>
                <w:rFonts w:eastAsia="仿宋_GB2312" w:hint="eastAsia"/>
                <w:color w:val="000000" w:themeColor="text1"/>
                <w:sz w:val="24"/>
              </w:rPr>
            </w:pPr>
            <w:r w:rsidRPr="006E230D">
              <w:rPr>
                <w:rFonts w:eastAsia="仿宋_GB2312" w:hint="eastAsia"/>
                <w:color w:val="000000" w:themeColor="text1"/>
                <w:sz w:val="24"/>
              </w:rPr>
              <w:t>今年以来，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目前全县已注册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51741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人次，实名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56127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人次，利用“金钟罩”反</w:t>
            </w:r>
            <w:proofErr w:type="gramStart"/>
            <w:r w:rsidRPr="00C84E8E">
              <w:rPr>
                <w:rFonts w:eastAsia="仿宋_GB2312" w:hint="eastAsia"/>
                <w:color w:val="000000" w:themeColor="text1"/>
                <w:sz w:val="24"/>
              </w:rPr>
              <w:t>诈程序</w:t>
            </w:r>
            <w:proofErr w:type="gramEnd"/>
            <w:r w:rsidRPr="00C84E8E">
              <w:rPr>
                <w:rFonts w:eastAsia="仿宋_GB2312" w:hint="eastAsia"/>
                <w:color w:val="000000" w:themeColor="text1"/>
                <w:sz w:val="24"/>
              </w:rPr>
              <w:t>成功劝阻可能发生电信网络诈骗预警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701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起，直接劝阻金额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15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余万元。</w:t>
            </w:r>
          </w:p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left"/>
              <w:rPr>
                <w:rFonts w:eastAsia="仿宋_GB2312" w:hint="eastAsia"/>
                <w:color w:val="000000" w:themeColor="text1"/>
                <w:sz w:val="24"/>
              </w:rPr>
            </w:pPr>
            <w:r w:rsidRPr="006E230D">
              <w:rPr>
                <w:rFonts w:eastAsia="仿宋_GB2312" w:hint="eastAsia"/>
                <w:color w:val="000000" w:themeColor="text1"/>
                <w:sz w:val="24"/>
              </w:rPr>
              <w:t>反诈专班已止付涉案账户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1272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个，止付金额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4746.74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万元，冻结账户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284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个，冻结金额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443.96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余万元。立电信网络诈骗案件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86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起，同比去年下降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34.35%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，破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15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起，抓获犯罪嫌疑人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26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名，追回群众损失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7.4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余万元。特别是经过两年努力，成功侦破两起“云剑行动”挂牌案件，共抓获犯罪嫌疑人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36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人，串并全国电信网络诈骗案件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274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起，</w:t>
            </w:r>
            <w:proofErr w:type="gramStart"/>
            <w:r w:rsidRPr="006E230D">
              <w:rPr>
                <w:rFonts w:eastAsia="仿宋_GB2312" w:hint="eastAsia"/>
                <w:color w:val="000000" w:themeColor="text1"/>
                <w:sz w:val="24"/>
              </w:rPr>
              <w:t>区厅特发</w:t>
            </w:r>
            <w:proofErr w:type="gramEnd"/>
            <w:r w:rsidRPr="006E230D">
              <w:rPr>
                <w:rFonts w:eastAsia="仿宋_GB2312" w:hint="eastAsia"/>
                <w:color w:val="000000" w:themeColor="text1"/>
                <w:sz w:val="24"/>
              </w:rPr>
              <w:t>贺电表示祝贺。“云剑行动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-2022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”、“断卡行动”成效显著。</w:t>
            </w:r>
          </w:p>
          <w:p w:rsidR="002E43FA" w:rsidRPr="00C84E8E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C84E8E">
              <w:rPr>
                <w:rFonts w:eastAsia="仿宋_GB2312" w:hint="eastAsia"/>
                <w:color w:val="000000" w:themeColor="text1"/>
                <w:kern w:val="2"/>
                <w:sz w:val="24"/>
              </w:rPr>
              <w:t>积极开展“六进”宣传活动</w:t>
            </w:r>
            <w:r w:rsidRPr="00C84E8E">
              <w:rPr>
                <w:rFonts w:eastAsia="仿宋_GB2312"/>
                <w:color w:val="000000" w:themeColor="text1"/>
                <w:kern w:val="2"/>
                <w:sz w:val="24"/>
              </w:rPr>
              <w:t>，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共发放电信网络诈骗宣传手册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8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万余份、宣传海报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4000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余份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,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联合县</w:t>
            </w:r>
            <w:proofErr w:type="gramStart"/>
            <w:r w:rsidRPr="00C84E8E">
              <w:rPr>
                <w:rFonts w:eastAsia="仿宋_GB2312" w:hint="eastAsia"/>
                <w:color w:val="000000" w:themeColor="text1"/>
                <w:sz w:val="24"/>
              </w:rPr>
              <w:t>融媒体</w:t>
            </w:r>
            <w:proofErr w:type="gramEnd"/>
            <w:r w:rsidRPr="00C84E8E">
              <w:rPr>
                <w:rFonts w:eastAsia="仿宋_GB2312" w:hint="eastAsia"/>
                <w:color w:val="000000" w:themeColor="text1"/>
                <w:sz w:val="24"/>
              </w:rPr>
              <w:t>中心拍摄反</w:t>
            </w:r>
            <w:proofErr w:type="gramStart"/>
            <w:r w:rsidRPr="00C84E8E">
              <w:rPr>
                <w:rFonts w:eastAsia="仿宋_GB2312" w:hint="eastAsia"/>
                <w:color w:val="000000" w:themeColor="text1"/>
                <w:sz w:val="24"/>
              </w:rPr>
              <w:t>诈宣传</w:t>
            </w:r>
            <w:proofErr w:type="gramEnd"/>
            <w:r w:rsidRPr="00C84E8E">
              <w:rPr>
                <w:rFonts w:eastAsia="仿宋_GB2312" w:hint="eastAsia"/>
                <w:color w:val="000000" w:themeColor="text1"/>
                <w:sz w:val="24"/>
              </w:rPr>
              <w:t>片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12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期，在</w:t>
            </w:r>
            <w:proofErr w:type="gramStart"/>
            <w:r w:rsidRPr="00C84E8E">
              <w:rPr>
                <w:rFonts w:eastAsia="仿宋_GB2312" w:hint="eastAsia"/>
                <w:color w:val="000000" w:themeColor="text1"/>
                <w:sz w:val="24"/>
              </w:rPr>
              <w:t>微信朋友</w:t>
            </w:r>
            <w:proofErr w:type="gramEnd"/>
            <w:r w:rsidRPr="00C84E8E">
              <w:rPr>
                <w:rFonts w:eastAsia="仿宋_GB2312" w:hint="eastAsia"/>
                <w:color w:val="000000" w:themeColor="text1"/>
                <w:sz w:val="24"/>
              </w:rPr>
              <w:t>圈投放反</w:t>
            </w:r>
            <w:proofErr w:type="gramStart"/>
            <w:r w:rsidRPr="00C84E8E">
              <w:rPr>
                <w:rFonts w:eastAsia="仿宋_GB2312" w:hint="eastAsia"/>
                <w:color w:val="000000" w:themeColor="text1"/>
                <w:sz w:val="24"/>
              </w:rPr>
              <w:t>诈宣传</w:t>
            </w:r>
            <w:proofErr w:type="gramEnd"/>
            <w:r w:rsidRPr="00C84E8E">
              <w:rPr>
                <w:rFonts w:eastAsia="仿宋_GB2312" w:hint="eastAsia"/>
                <w:color w:val="000000" w:themeColor="text1"/>
                <w:sz w:val="24"/>
              </w:rPr>
              <w:t>广告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2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期，累计曝光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10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万余人次。利用</w:t>
            </w:r>
            <w:proofErr w:type="gramStart"/>
            <w:r w:rsidRPr="00C84E8E">
              <w:rPr>
                <w:rFonts w:eastAsia="仿宋_GB2312" w:hint="eastAsia"/>
                <w:color w:val="000000" w:themeColor="text1"/>
                <w:sz w:val="24"/>
              </w:rPr>
              <w:t>微信朋友</w:t>
            </w:r>
            <w:proofErr w:type="gramEnd"/>
            <w:r w:rsidRPr="00C84E8E">
              <w:rPr>
                <w:rFonts w:eastAsia="仿宋_GB2312" w:hint="eastAsia"/>
                <w:color w:val="000000" w:themeColor="text1"/>
                <w:sz w:val="24"/>
              </w:rPr>
              <w:t>圈向全县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18-55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岁易上当人群集中推送“国家反诈中心”、“金钟罩”宣传广告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2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次，曝光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10</w:t>
            </w:r>
            <w:r w:rsidRPr="00C84E8E">
              <w:rPr>
                <w:rFonts w:eastAsia="仿宋_GB2312" w:hint="eastAsia"/>
                <w:color w:val="000000" w:themeColor="text1"/>
                <w:sz w:val="24"/>
              </w:rPr>
              <w:t>万人，</w:t>
            </w:r>
            <w:proofErr w:type="gramStart"/>
            <w:r w:rsidRPr="00C84E8E">
              <w:rPr>
                <w:rFonts w:eastAsia="仿宋_GB2312" w:hint="eastAsia"/>
                <w:color w:val="000000" w:themeColor="text1"/>
                <w:sz w:val="24"/>
              </w:rPr>
              <w:t>微信公众号</w:t>
            </w:r>
            <w:proofErr w:type="gramEnd"/>
            <w:r w:rsidRPr="00C84E8E">
              <w:rPr>
                <w:rFonts w:eastAsia="仿宋_GB2312" w:hint="eastAsia"/>
                <w:color w:val="000000" w:themeColor="text1"/>
                <w:sz w:val="24"/>
              </w:rPr>
              <w:t>转发反</w:t>
            </w:r>
            <w:proofErr w:type="gramStart"/>
            <w:r w:rsidRPr="00C84E8E">
              <w:rPr>
                <w:rFonts w:eastAsia="仿宋_GB2312" w:hint="eastAsia"/>
                <w:color w:val="000000" w:themeColor="text1"/>
                <w:sz w:val="24"/>
              </w:rPr>
              <w:t>诈信息</w:t>
            </w:r>
            <w:proofErr w:type="gramEnd"/>
            <w:r w:rsidRPr="00C84E8E">
              <w:rPr>
                <w:rFonts w:eastAsia="仿宋_GB2312" w:hint="eastAsia"/>
                <w:color w:val="000000" w:themeColor="text1"/>
                <w:sz w:val="24"/>
              </w:rPr>
              <w:t>千余条。</w:t>
            </w:r>
          </w:p>
        </w:tc>
        <w:tc>
          <w:tcPr>
            <w:tcW w:w="4677" w:type="dxa"/>
            <w:vAlign w:val="center"/>
          </w:tcPr>
          <w:p w:rsidR="002E43FA" w:rsidRPr="006E230D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left"/>
              <w:rPr>
                <w:rFonts w:eastAsia="仿宋_GB2312" w:hint="eastAsia"/>
                <w:color w:val="000000" w:themeColor="text1"/>
                <w:sz w:val="24"/>
              </w:rPr>
            </w:pPr>
            <w:r w:rsidRPr="006E230D">
              <w:rPr>
                <w:rFonts w:eastAsia="仿宋_GB2312" w:hint="eastAsia"/>
                <w:color w:val="000000" w:themeColor="text1"/>
                <w:sz w:val="24"/>
              </w:rPr>
              <w:t>人民群众的防范意识不足，对电信网络诈骗的危害性认识不足，往往都</w:t>
            </w:r>
            <w:r>
              <w:rPr>
                <w:rFonts w:eastAsia="仿宋_GB2312" w:hint="eastAsia"/>
                <w:color w:val="000000" w:themeColor="text1"/>
                <w:sz w:val="24"/>
              </w:rPr>
              <w:t>存在侥幸心理。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打击难度大，电信诈骗的隐蔽性极强，犯罪分子的上线多在境外，想彻底打掉一个系统</w:t>
            </w:r>
            <w:proofErr w:type="gramStart"/>
            <w:r w:rsidRPr="006E230D">
              <w:rPr>
                <w:rFonts w:eastAsia="仿宋_GB2312" w:hint="eastAsia"/>
                <w:color w:val="000000" w:themeColor="text1"/>
                <w:sz w:val="24"/>
              </w:rPr>
              <w:t>的电诈团伙</w:t>
            </w:r>
            <w:proofErr w:type="gramEnd"/>
            <w:r w:rsidRPr="006E230D">
              <w:rPr>
                <w:rFonts w:eastAsia="仿宋_GB2312" w:hint="eastAsia"/>
                <w:color w:val="000000" w:themeColor="text1"/>
                <w:sz w:val="24"/>
              </w:rPr>
              <w:t>难度很大。目前办理</w:t>
            </w:r>
            <w:proofErr w:type="gramStart"/>
            <w:r w:rsidRPr="006E230D">
              <w:rPr>
                <w:rFonts w:eastAsia="仿宋_GB2312" w:hint="eastAsia"/>
                <w:color w:val="000000" w:themeColor="text1"/>
                <w:sz w:val="24"/>
              </w:rPr>
              <w:t>电诈案件</w:t>
            </w:r>
            <w:proofErr w:type="gramEnd"/>
            <w:r w:rsidRPr="006E230D">
              <w:rPr>
                <w:rFonts w:eastAsia="仿宋_GB2312" w:hint="eastAsia"/>
                <w:color w:val="000000" w:themeColor="text1"/>
                <w:sz w:val="24"/>
              </w:rPr>
              <w:t>的重点主要集中在境内的团伙成员和贩卖两卡人员上，但境外团伙和“金主”</w:t>
            </w:r>
            <w:proofErr w:type="gramStart"/>
            <w:r w:rsidRPr="006E230D">
              <w:rPr>
                <w:rFonts w:eastAsia="仿宋_GB2312" w:hint="eastAsia"/>
                <w:color w:val="000000" w:themeColor="text1"/>
                <w:sz w:val="24"/>
              </w:rPr>
              <w:t>不</w:t>
            </w:r>
            <w:proofErr w:type="gramEnd"/>
            <w:r w:rsidRPr="006E230D">
              <w:rPr>
                <w:rFonts w:eastAsia="仿宋_GB2312" w:hint="eastAsia"/>
                <w:color w:val="000000" w:themeColor="text1"/>
                <w:sz w:val="24"/>
              </w:rPr>
              <w:t>拔出，境内的“马仔”仍会不断发展。打击的突破口就在于集群作战，境外合力铲除境外参与电信网络诈骗团伙，境内打掉贩卖两卡人员形成震慑，同时加大宣传</w:t>
            </w:r>
            <w:proofErr w:type="gramStart"/>
            <w:r w:rsidRPr="006E230D">
              <w:rPr>
                <w:rFonts w:eastAsia="仿宋_GB2312" w:hint="eastAsia"/>
                <w:color w:val="000000" w:themeColor="text1"/>
                <w:sz w:val="24"/>
              </w:rPr>
              <w:t>织密反</w:t>
            </w:r>
            <w:proofErr w:type="gramEnd"/>
            <w:r w:rsidRPr="006E230D">
              <w:rPr>
                <w:rFonts w:eastAsia="仿宋_GB2312" w:hint="eastAsia"/>
                <w:color w:val="000000" w:themeColor="text1"/>
                <w:sz w:val="24"/>
              </w:rPr>
              <w:t>诈网，不断提升人民群众的反诈意识，形成打源头、斩联系、铲土壤的闭环。三是宣传效果不够良好，目前我局针对电信网络诈骗开展了“线上”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+</w:t>
            </w:r>
            <w:r w:rsidRPr="006E230D">
              <w:rPr>
                <w:rFonts w:eastAsia="仿宋_GB2312" w:hint="eastAsia"/>
                <w:color w:val="000000" w:themeColor="text1"/>
                <w:sz w:val="24"/>
              </w:rPr>
              <w:t>“线下”的宣传模式，但宣传的效果不够明显，群众对电信网络诈骗的危害性仍认识不足，未能达到期待的效果。</w:t>
            </w:r>
          </w:p>
        </w:tc>
        <w:tc>
          <w:tcPr>
            <w:tcW w:w="996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center"/>
              <w:rPr>
                <w:rFonts w:eastAsia="仿宋_GB2312" w:hint="eastAsia"/>
                <w:color w:val="000000" w:themeColor="text1"/>
                <w:sz w:val="24"/>
              </w:rPr>
            </w:pPr>
          </w:p>
        </w:tc>
      </w:tr>
      <w:tr w:rsidR="002E43FA" w:rsidTr="00290E89">
        <w:trPr>
          <w:trHeight w:val="2389"/>
          <w:jc w:val="center"/>
        </w:trPr>
        <w:tc>
          <w:tcPr>
            <w:tcW w:w="1251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lastRenderedPageBreak/>
              <w:t>第</w:t>
            </w:r>
            <w:r>
              <w:rPr>
                <w:rFonts w:eastAsia="仿宋_GB2312"/>
                <w:color w:val="000000" w:themeColor="text1"/>
                <w:sz w:val="24"/>
              </w:rPr>
              <w:t>27</w:t>
            </w:r>
            <w:r>
              <w:rPr>
                <w:rFonts w:eastAsia="仿宋_GB2312"/>
                <w:color w:val="000000" w:themeColor="text1"/>
                <w:sz w:val="24"/>
              </w:rPr>
              <w:t>号</w:t>
            </w:r>
          </w:p>
        </w:tc>
        <w:tc>
          <w:tcPr>
            <w:tcW w:w="1523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关于加强农村</w:t>
            </w:r>
            <w:r>
              <w:rPr>
                <w:rFonts w:eastAsia="仿宋_GB2312"/>
                <w:color w:val="000000" w:themeColor="text1"/>
                <w:sz w:val="24"/>
              </w:rPr>
              <w:t>“</w:t>
            </w:r>
            <w:r>
              <w:rPr>
                <w:rFonts w:eastAsia="仿宋_GB2312"/>
                <w:color w:val="000000" w:themeColor="text1"/>
                <w:sz w:val="24"/>
              </w:rPr>
              <w:t>两站两员</w:t>
            </w:r>
            <w:r>
              <w:rPr>
                <w:rFonts w:eastAsia="仿宋_GB2312"/>
                <w:color w:val="000000" w:themeColor="text1"/>
                <w:sz w:val="24"/>
              </w:rPr>
              <w:t>”</w:t>
            </w:r>
            <w:r>
              <w:rPr>
                <w:rFonts w:eastAsia="仿宋_GB2312"/>
                <w:color w:val="000000" w:themeColor="text1"/>
                <w:sz w:val="24"/>
              </w:rPr>
              <w:t>建设，提升交通安全综合治理水平的建议</w:t>
            </w:r>
          </w:p>
        </w:tc>
        <w:tc>
          <w:tcPr>
            <w:tcW w:w="708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公安局</w:t>
            </w:r>
          </w:p>
        </w:tc>
        <w:tc>
          <w:tcPr>
            <w:tcW w:w="851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各乡镇</w:t>
            </w:r>
          </w:p>
        </w:tc>
        <w:tc>
          <w:tcPr>
            <w:tcW w:w="5245" w:type="dxa"/>
            <w:vAlign w:val="center"/>
          </w:tcPr>
          <w:p w:rsidR="002E43FA" w:rsidRPr="009F3D44" w:rsidRDefault="002E43FA" w:rsidP="00290E89">
            <w:pPr>
              <w:widowControl/>
              <w:shd w:val="clear" w:color="auto" w:fill="FFFFFF"/>
              <w:ind w:firstLineChars="200" w:firstLine="480"/>
              <w:jc w:val="left"/>
              <w:rPr>
                <w:rFonts w:eastAsia="仿宋_GB2312"/>
                <w:color w:val="000000" w:themeColor="text1"/>
                <w:sz w:val="24"/>
              </w:rPr>
            </w:pPr>
            <w:r w:rsidRPr="009F3D44">
              <w:rPr>
                <w:rFonts w:eastAsia="仿宋_GB2312" w:hint="eastAsia"/>
                <w:color w:val="000000" w:themeColor="text1"/>
                <w:sz w:val="24"/>
              </w:rPr>
              <w:t>已在草</w:t>
            </w:r>
            <w:proofErr w:type="gramStart"/>
            <w:r w:rsidRPr="009F3D44">
              <w:rPr>
                <w:rFonts w:eastAsia="仿宋_GB2312" w:hint="eastAsia"/>
                <w:color w:val="000000" w:themeColor="text1"/>
                <w:sz w:val="24"/>
              </w:rPr>
              <w:t>庙新洼</w:t>
            </w:r>
            <w:proofErr w:type="gramEnd"/>
            <w:r w:rsidRPr="009F3D44">
              <w:rPr>
                <w:rFonts w:eastAsia="仿宋_GB2312" w:hint="eastAsia"/>
                <w:color w:val="000000" w:themeColor="text1"/>
                <w:sz w:val="24"/>
              </w:rPr>
              <w:t>、白阳镇陡坡村、城阳杨坪村、</w:t>
            </w:r>
            <w:proofErr w:type="gramStart"/>
            <w:r w:rsidRPr="009F3D44">
              <w:rPr>
                <w:rFonts w:eastAsia="仿宋_GB2312" w:hint="eastAsia"/>
                <w:color w:val="000000" w:themeColor="text1"/>
                <w:sz w:val="24"/>
              </w:rPr>
              <w:t>草庙赵洼</w:t>
            </w:r>
            <w:proofErr w:type="gramEnd"/>
            <w:r w:rsidRPr="009F3D44">
              <w:rPr>
                <w:rFonts w:eastAsia="仿宋_GB2312" w:hint="eastAsia"/>
                <w:color w:val="000000" w:themeColor="text1"/>
                <w:sz w:val="24"/>
              </w:rPr>
              <w:t>村、古城高庄村、古城村交界处、古城海口、城阳杨坪、红河韩堡、新集</w:t>
            </w:r>
            <w:proofErr w:type="gramStart"/>
            <w:r w:rsidRPr="009F3D44">
              <w:rPr>
                <w:rFonts w:eastAsia="仿宋_GB2312" w:hint="eastAsia"/>
                <w:color w:val="000000" w:themeColor="text1"/>
                <w:sz w:val="24"/>
              </w:rPr>
              <w:t>上马洼等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5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个</w:t>
            </w:r>
            <w:proofErr w:type="gramEnd"/>
            <w:r w:rsidRPr="009F3D44">
              <w:rPr>
                <w:rFonts w:eastAsia="仿宋_GB2312" w:hint="eastAsia"/>
                <w:color w:val="000000" w:themeColor="text1"/>
                <w:sz w:val="24"/>
              </w:rPr>
              <w:t>乡镇要道建成了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10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处一级劝导站，并按照劝导人员配备要求，将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 xml:space="preserve"> 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“一村双助理”纳入日常劝导工作，实现了</w:t>
            </w:r>
            <w:proofErr w:type="gramStart"/>
            <w:r w:rsidRPr="009F3D44">
              <w:rPr>
                <w:rFonts w:eastAsia="仿宋_GB2312" w:hint="eastAsia"/>
                <w:color w:val="000000" w:themeColor="text1"/>
                <w:sz w:val="24"/>
              </w:rPr>
              <w:t>劝导站</w:t>
            </w:r>
            <w:proofErr w:type="gramEnd"/>
            <w:r w:rsidRPr="009F3D44">
              <w:rPr>
                <w:rFonts w:eastAsia="仿宋_GB2312" w:hint="eastAsia"/>
                <w:color w:val="000000" w:themeColor="text1"/>
                <w:sz w:val="24"/>
              </w:rPr>
              <w:t>的基本运行。同时，安排专人对劝导方式、方法、</w:t>
            </w:r>
            <w:proofErr w:type="gramStart"/>
            <w:r w:rsidRPr="009F3D44">
              <w:rPr>
                <w:rFonts w:eastAsia="仿宋_GB2312" w:hint="eastAsia"/>
                <w:color w:val="000000" w:themeColor="text1"/>
                <w:sz w:val="24"/>
              </w:rPr>
              <w:t>基础台账建立</w:t>
            </w:r>
            <w:proofErr w:type="gramEnd"/>
            <w:r w:rsidRPr="009F3D44">
              <w:rPr>
                <w:rFonts w:eastAsia="仿宋_GB2312" w:hint="eastAsia"/>
                <w:color w:val="000000" w:themeColor="text1"/>
                <w:sz w:val="24"/>
              </w:rPr>
              <w:t>等工作进行了培训。</w:t>
            </w:r>
          </w:p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lef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问题：难以在全县范围内实现“两站两员”全覆盖。</w:t>
            </w:r>
          </w:p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lef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原因：对资金和人力需求大，工作预期成效有待论证。</w:t>
            </w:r>
          </w:p>
        </w:tc>
        <w:tc>
          <w:tcPr>
            <w:tcW w:w="996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已与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提案代表进行了沟通</w:t>
            </w:r>
          </w:p>
        </w:tc>
      </w:tr>
      <w:tr w:rsidR="002E43FA" w:rsidTr="00290E89">
        <w:trPr>
          <w:trHeight w:val="933"/>
          <w:jc w:val="center"/>
        </w:trPr>
        <w:tc>
          <w:tcPr>
            <w:tcW w:w="1251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第</w:t>
            </w:r>
            <w:r>
              <w:rPr>
                <w:rFonts w:eastAsia="仿宋_GB2312"/>
                <w:color w:val="000000" w:themeColor="text1"/>
                <w:sz w:val="24"/>
              </w:rPr>
              <w:t>49</w:t>
            </w:r>
            <w:r>
              <w:rPr>
                <w:rFonts w:eastAsia="仿宋_GB2312"/>
                <w:color w:val="000000" w:themeColor="text1"/>
                <w:sz w:val="24"/>
              </w:rPr>
              <w:t>号</w:t>
            </w:r>
          </w:p>
        </w:tc>
        <w:tc>
          <w:tcPr>
            <w:tcW w:w="1523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关于在红河镇彭阳至平凉十字路口安装红绿灯的提案</w:t>
            </w:r>
          </w:p>
        </w:tc>
        <w:tc>
          <w:tcPr>
            <w:tcW w:w="708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公安局</w:t>
            </w:r>
          </w:p>
        </w:tc>
        <w:tc>
          <w:tcPr>
            <w:tcW w:w="851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center"/>
              <w:rPr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红河镇</w:t>
            </w:r>
          </w:p>
        </w:tc>
        <w:tc>
          <w:tcPr>
            <w:tcW w:w="5245" w:type="dxa"/>
            <w:vAlign w:val="center"/>
          </w:tcPr>
          <w:p w:rsidR="002E43FA" w:rsidRDefault="002E43FA" w:rsidP="00290E89">
            <w:pPr>
              <w:widowControl/>
              <w:snapToGrid w:val="0"/>
              <w:ind w:firstLineChars="200" w:firstLine="480"/>
              <w:rPr>
                <w:rFonts w:eastAsia="仿宋_GB2312"/>
                <w:color w:val="000000" w:themeColor="text1"/>
                <w:sz w:val="24"/>
              </w:rPr>
            </w:pPr>
            <w:r w:rsidRPr="009F3D44">
              <w:rPr>
                <w:rFonts w:eastAsia="仿宋_GB2312" w:hint="eastAsia"/>
                <w:color w:val="000000" w:themeColor="text1"/>
                <w:sz w:val="24"/>
              </w:rPr>
              <w:t>该十字路口为</w:t>
            </w:r>
            <w:proofErr w:type="gramStart"/>
            <w:r w:rsidRPr="009F3D44">
              <w:rPr>
                <w:rFonts w:eastAsia="仿宋_GB2312" w:hint="eastAsia"/>
                <w:color w:val="000000" w:themeColor="text1"/>
                <w:sz w:val="24"/>
              </w:rPr>
              <w:t>连固线</w:t>
            </w:r>
            <w:proofErr w:type="gramEnd"/>
            <w:r w:rsidRPr="009F3D44">
              <w:rPr>
                <w:rFonts w:eastAsia="仿宋_GB2312" w:hint="eastAsia"/>
                <w:color w:val="000000" w:themeColor="text1"/>
                <w:sz w:val="24"/>
              </w:rPr>
              <w:t>红河梁长下坡后的第一个十字路口，横向</w:t>
            </w:r>
            <w:proofErr w:type="gramStart"/>
            <w:r w:rsidRPr="009F3D44">
              <w:rPr>
                <w:rFonts w:eastAsia="仿宋_GB2312" w:hint="eastAsia"/>
                <w:color w:val="000000" w:themeColor="text1"/>
                <w:sz w:val="24"/>
              </w:rPr>
              <w:t>为固红路</w:t>
            </w:r>
            <w:proofErr w:type="gramEnd"/>
            <w:r w:rsidRPr="009F3D44">
              <w:rPr>
                <w:rFonts w:eastAsia="仿宋_GB2312" w:hint="eastAsia"/>
                <w:color w:val="000000" w:themeColor="text1"/>
                <w:sz w:val="24"/>
              </w:rPr>
              <w:t>，交通流量大、交通安全隐患较为突出，</w:t>
            </w:r>
            <w:r>
              <w:rPr>
                <w:rFonts w:eastAsia="仿宋_GB2312" w:hint="eastAsia"/>
                <w:color w:val="000000" w:themeColor="text1"/>
                <w:sz w:val="24"/>
              </w:rPr>
              <w:t>目前已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在该路段安装了双层减速带，</w:t>
            </w:r>
            <w:proofErr w:type="gramStart"/>
            <w:r>
              <w:rPr>
                <w:rFonts w:eastAsia="仿宋_GB2312" w:hint="eastAsia"/>
                <w:color w:val="000000" w:themeColor="text1"/>
                <w:sz w:val="24"/>
              </w:rPr>
              <w:t>加装了爆闪灯</w:t>
            </w:r>
            <w:proofErr w:type="gramEnd"/>
            <w:r>
              <w:rPr>
                <w:rFonts w:eastAsia="仿宋_GB2312" w:hint="eastAsia"/>
                <w:color w:val="000000" w:themeColor="text1"/>
                <w:sz w:val="24"/>
              </w:rPr>
              <w:t>等警示标志，新建了彭阳至</w:t>
            </w:r>
            <w:proofErr w:type="gramStart"/>
            <w:r>
              <w:rPr>
                <w:rFonts w:eastAsia="仿宋_GB2312" w:hint="eastAsia"/>
                <w:color w:val="000000" w:themeColor="text1"/>
                <w:sz w:val="24"/>
              </w:rPr>
              <w:t>红河何</w:t>
            </w:r>
            <w:proofErr w:type="gramEnd"/>
            <w:r>
              <w:rPr>
                <w:rFonts w:eastAsia="仿宋_GB2312" w:hint="eastAsia"/>
                <w:color w:val="000000" w:themeColor="text1"/>
                <w:sz w:val="24"/>
              </w:rPr>
              <w:t>源区间测速卡口，但经对该路段进行实地勘察、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综合</w:t>
            </w:r>
            <w:proofErr w:type="gramStart"/>
            <w:r w:rsidRPr="009F3D44">
              <w:rPr>
                <w:rFonts w:eastAsia="仿宋_GB2312" w:hint="eastAsia"/>
                <w:color w:val="000000" w:themeColor="text1"/>
                <w:sz w:val="24"/>
              </w:rPr>
              <w:t>研</w:t>
            </w:r>
            <w:proofErr w:type="gramEnd"/>
            <w:r w:rsidRPr="009F3D44">
              <w:rPr>
                <w:rFonts w:eastAsia="仿宋_GB2312" w:hint="eastAsia"/>
                <w:color w:val="000000" w:themeColor="text1"/>
                <w:sz w:val="24"/>
              </w:rPr>
              <w:t>判</w:t>
            </w:r>
            <w:r>
              <w:rPr>
                <w:rFonts w:eastAsia="仿宋_GB2312" w:hint="eastAsia"/>
                <w:color w:val="000000" w:themeColor="text1"/>
                <w:sz w:val="24"/>
              </w:rPr>
              <w:t>，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该路段暂不适宜安装红绿灯</w:t>
            </w:r>
            <w:r>
              <w:rPr>
                <w:rFonts w:eastAsia="仿宋_GB2312" w:hint="eastAsia"/>
                <w:color w:val="000000" w:themeColor="text1"/>
                <w:sz w:val="24"/>
              </w:rPr>
              <w:t>。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同时，我局也将以提案</w:t>
            </w:r>
            <w:r>
              <w:rPr>
                <w:rFonts w:eastAsia="仿宋_GB2312" w:hint="eastAsia"/>
                <w:color w:val="000000" w:themeColor="text1"/>
                <w:sz w:val="24"/>
              </w:rPr>
              <w:t>整改工作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为契机，进一步强化该路段日常巡逻管控，</w:t>
            </w:r>
            <w:r>
              <w:rPr>
                <w:rFonts w:eastAsia="仿宋_GB2312" w:hint="eastAsia"/>
                <w:color w:val="000000" w:themeColor="text1"/>
                <w:sz w:val="24"/>
              </w:rPr>
              <w:t>有效预防各类交通事故发生。</w:t>
            </w:r>
          </w:p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4677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rPr>
                <w:rFonts w:eastAsia="仿宋_GB2312"/>
                <w:color w:val="000000" w:themeColor="text1"/>
                <w:sz w:val="24"/>
              </w:rPr>
            </w:pPr>
            <w:r w:rsidRPr="00447891">
              <w:rPr>
                <w:rFonts w:eastAsia="仿宋_GB2312" w:hint="eastAsia"/>
                <w:b/>
                <w:color w:val="000000" w:themeColor="text1"/>
                <w:sz w:val="24"/>
              </w:rPr>
              <w:t>问题</w:t>
            </w:r>
            <w:r>
              <w:rPr>
                <w:rFonts w:eastAsia="仿宋_GB2312" w:hint="eastAsia"/>
                <w:color w:val="000000" w:themeColor="text1"/>
                <w:sz w:val="24"/>
              </w:rPr>
              <w:t>：治理难度大，无法安装红绿灯。</w:t>
            </w:r>
          </w:p>
          <w:p w:rsidR="002E43FA" w:rsidRPr="009F3D44" w:rsidRDefault="002E43FA" w:rsidP="00290E89">
            <w:pPr>
              <w:widowControl/>
              <w:snapToGrid w:val="0"/>
              <w:rPr>
                <w:rFonts w:eastAsia="仿宋_GB2312"/>
                <w:color w:val="000000" w:themeColor="text1"/>
                <w:sz w:val="24"/>
              </w:rPr>
            </w:pPr>
            <w:r w:rsidRPr="00447891">
              <w:rPr>
                <w:rFonts w:eastAsia="仿宋_GB2312"/>
                <w:b/>
                <w:color w:val="000000" w:themeColor="text1"/>
                <w:sz w:val="24"/>
              </w:rPr>
              <w:t>原因：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一是该路段为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S202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省道，按照</w:t>
            </w:r>
            <w:proofErr w:type="gramStart"/>
            <w:r w:rsidRPr="009F3D44">
              <w:rPr>
                <w:rFonts w:eastAsia="仿宋_GB2312" w:hint="eastAsia"/>
                <w:color w:val="000000" w:themeColor="text1"/>
                <w:sz w:val="24"/>
              </w:rPr>
              <w:t>道标交通</w:t>
            </w:r>
            <w:proofErr w:type="gramEnd"/>
            <w:r w:rsidRPr="009F3D44">
              <w:rPr>
                <w:rFonts w:eastAsia="仿宋_GB2312" w:hint="eastAsia"/>
                <w:color w:val="000000" w:themeColor="text1"/>
                <w:sz w:val="24"/>
              </w:rPr>
              <w:t>管理有关规范要求，国省道限速为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70km/h,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一般不适宜设置红绿灯等设备。</w:t>
            </w:r>
          </w:p>
          <w:p w:rsidR="002E43FA" w:rsidRPr="00266118" w:rsidRDefault="002E43FA" w:rsidP="00290E89">
            <w:pPr>
              <w:widowControl/>
              <w:snapToGrid w:val="0"/>
              <w:rPr>
                <w:rFonts w:eastAsia="仿宋_GB2312"/>
                <w:color w:val="000000" w:themeColor="text1"/>
                <w:sz w:val="24"/>
              </w:rPr>
            </w:pPr>
            <w:r w:rsidRPr="009F3D44">
              <w:rPr>
                <w:rFonts w:eastAsia="仿宋_GB2312" w:hint="eastAsia"/>
                <w:color w:val="000000" w:themeColor="text1"/>
                <w:sz w:val="24"/>
              </w:rPr>
              <w:t>二是该路段大型车辆较多，在连续下坡后和遇雨雪天气时车辆制动性能减弱，如设置红绿灯则存在极大追尾风险。三是该路口属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S202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省道与</w:t>
            </w:r>
            <w:proofErr w:type="gramStart"/>
            <w:r w:rsidRPr="009F3D44">
              <w:rPr>
                <w:rFonts w:eastAsia="仿宋_GB2312" w:hint="eastAsia"/>
                <w:color w:val="000000" w:themeColor="text1"/>
                <w:sz w:val="24"/>
              </w:rPr>
              <w:t>固红公路</w:t>
            </w:r>
            <w:proofErr w:type="gramEnd"/>
            <w:r w:rsidRPr="009F3D44">
              <w:rPr>
                <w:rFonts w:eastAsia="仿宋_GB2312" w:hint="eastAsia"/>
                <w:color w:val="000000" w:themeColor="text1"/>
                <w:sz w:val="24"/>
              </w:rPr>
              <w:t>相交的平交路口，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S202</w:t>
            </w:r>
            <w:r w:rsidRPr="009F3D44">
              <w:rPr>
                <w:rFonts w:eastAsia="仿宋_GB2312" w:hint="eastAsia"/>
                <w:color w:val="000000" w:themeColor="text1"/>
                <w:sz w:val="24"/>
              </w:rPr>
              <w:t>省道为双向四车道，</w:t>
            </w:r>
            <w:proofErr w:type="gramStart"/>
            <w:r w:rsidRPr="00447891">
              <w:rPr>
                <w:rFonts w:eastAsia="仿宋_GB2312" w:hint="eastAsia"/>
                <w:color w:val="000000" w:themeColor="text1"/>
                <w:sz w:val="24"/>
              </w:rPr>
              <w:t>固红路</w:t>
            </w:r>
            <w:proofErr w:type="gramEnd"/>
            <w:r w:rsidRPr="00447891">
              <w:rPr>
                <w:rFonts w:eastAsia="仿宋_GB2312" w:hint="eastAsia"/>
                <w:color w:val="000000" w:themeColor="text1"/>
                <w:sz w:val="24"/>
              </w:rPr>
              <w:t>为双向两车道，安装红绿灯无法匹配。</w:t>
            </w:r>
          </w:p>
        </w:tc>
        <w:tc>
          <w:tcPr>
            <w:tcW w:w="996" w:type="dxa"/>
            <w:vAlign w:val="center"/>
          </w:tcPr>
          <w:p w:rsidR="002E43FA" w:rsidRDefault="002E43FA" w:rsidP="00290E89">
            <w:pPr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已与代表委员进行了沟通，其对安装红绿灯存在的现实性困难表示理解。</w:t>
            </w:r>
          </w:p>
        </w:tc>
      </w:tr>
      <w:bookmarkEnd w:id="1"/>
    </w:tbl>
    <w:p w:rsidR="002E43FA" w:rsidRDefault="002E43FA" w:rsidP="002E43FA">
      <w:pPr>
        <w:pStyle w:val="20"/>
        <w:ind w:leftChars="0" w:left="0" w:firstLineChars="0" w:firstLine="0"/>
      </w:pPr>
    </w:p>
    <w:p w:rsidR="00843D6B" w:rsidRPr="002E43FA" w:rsidRDefault="00843D6B"/>
    <w:sectPr w:rsidR="00843D6B" w:rsidRPr="002E43FA" w:rsidSect="00266118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3FA"/>
    <w:rsid w:val="002E43FA"/>
    <w:rsid w:val="0084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E43FA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paragraph" w:styleId="2">
    <w:name w:val="heading 2"/>
    <w:basedOn w:val="a"/>
    <w:next w:val="a"/>
    <w:link w:val="2Char"/>
    <w:qFormat/>
    <w:rsid w:val="002E43FA"/>
    <w:pPr>
      <w:spacing w:before="100" w:beforeAutospacing="1" w:after="100" w:afterAutospacing="1"/>
      <w:jc w:val="left"/>
      <w:outlineLvl w:val="1"/>
    </w:pPr>
    <w:rPr>
      <w:rFonts w:ascii="宋体" w:eastAsia="宋体" w:hAnsi="宋体" w:cs="宋体" w:hint="eastAsia"/>
      <w:b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E43FA"/>
    <w:rPr>
      <w:rFonts w:ascii="宋体" w:eastAsia="宋体" w:hAnsi="宋体" w:cs="宋体"/>
      <w:b/>
      <w:kern w:val="1"/>
      <w:sz w:val="36"/>
      <w:szCs w:val="36"/>
    </w:rPr>
  </w:style>
  <w:style w:type="paragraph" w:styleId="a3">
    <w:name w:val="Body Text Indent"/>
    <w:basedOn w:val="a"/>
    <w:link w:val="Char"/>
    <w:uiPriority w:val="99"/>
    <w:semiHidden/>
    <w:unhideWhenUsed/>
    <w:rsid w:val="002E43F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2E43FA"/>
    <w:rPr>
      <w:rFonts w:ascii="Times New Roman" w:eastAsia="方正仿宋_GBK" w:hAnsi="Times New Roman" w:cs="Times New Roman"/>
      <w:sz w:val="32"/>
      <w:szCs w:val="24"/>
    </w:rPr>
  </w:style>
  <w:style w:type="paragraph" w:styleId="20">
    <w:name w:val="Body Text First Indent 2"/>
    <w:basedOn w:val="a3"/>
    <w:next w:val="a"/>
    <w:link w:val="2Char0"/>
    <w:qFormat/>
    <w:rsid w:val="002E43FA"/>
    <w:pPr>
      <w:ind w:left="200" w:firstLineChars="200" w:firstLine="420"/>
    </w:pPr>
    <w:rPr>
      <w:rFonts w:eastAsia="仿宋_GB2312"/>
    </w:rPr>
  </w:style>
  <w:style w:type="character" w:customStyle="1" w:styleId="2Char0">
    <w:name w:val="正文首行缩进 2 Char"/>
    <w:basedOn w:val="Char"/>
    <w:link w:val="20"/>
    <w:rsid w:val="002E43FA"/>
    <w:rPr>
      <w:rFonts w:eastAsia="仿宋_GB2312"/>
    </w:rPr>
  </w:style>
  <w:style w:type="table" w:styleId="a4">
    <w:name w:val="Table Grid"/>
    <w:qFormat/>
    <w:rsid w:val="002E43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1642</Characters>
  <Application>Microsoft Office Word</Application>
  <DocSecurity>0</DocSecurity>
  <Lines>13</Lines>
  <Paragraphs>3</Paragraphs>
  <ScaleCrop>false</ScaleCrop>
  <Company>微软公司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2022-06-23T08:00:00Z</dcterms:created>
  <dcterms:modified xsi:type="dcterms:W3CDTF">2022-06-23T08:01:00Z</dcterms:modified>
</cp:coreProperties>
</file>