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E w:val="0"/>
        <w:spacing w:line="560" w:lineRule="exact"/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</w:rPr>
        <w:t>附表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313" w:beforeLines="100"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2"/>
          <w:szCs w:val="32"/>
          <w:shd w:val="clear" w:color="auto" w:fill="FFFFFF"/>
        </w:rPr>
        <w:t>彭阳县城乡集中式生活饮用水龙头水水质监测情况</w:t>
      </w:r>
    </w:p>
    <w:tbl>
      <w:tblPr>
        <w:tblStyle w:val="6"/>
        <w:tblpPr w:leftFromText="180" w:rightFromText="180" w:vertAnchor="text" w:horzAnchor="page" w:tblpX="1644" w:tblpY="526"/>
        <w:tblOverlap w:val="never"/>
        <w:tblW w:w="90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2227"/>
        <w:gridCol w:w="1881"/>
        <w:gridCol w:w="1650"/>
        <w:gridCol w:w="1501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采样地点</w:t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样品名称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采样时间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采样数量（份）</w:t>
            </w:r>
          </w:p>
        </w:tc>
        <w:tc>
          <w:tcPr>
            <w:tcW w:w="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1号</w:t>
            </w:r>
          </w:p>
        </w:tc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富阳花园</w:t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末梢水1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2023.3.16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号</w:t>
            </w:r>
          </w:p>
        </w:tc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三号小区</w:t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2023.3.16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号</w:t>
            </w:r>
          </w:p>
        </w:tc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浙商国际小区</w:t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2023.3.16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号</w:t>
            </w:r>
          </w:p>
        </w:tc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eastAsia="zh-CN"/>
              </w:rPr>
              <w:t>海巴小区</w:t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2023.3.16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号</w:t>
            </w:r>
          </w:p>
        </w:tc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疾控中心</w:t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2023.3.16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wordWrap w:val="0"/>
        <w:autoSpaceDE w:val="0"/>
        <w:spacing w:line="56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EF43CCD"/>
    <w:rsid w:val="31D800B0"/>
    <w:rsid w:val="7259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tabs>
        <w:tab w:val="left" w:pos="900"/>
      </w:tabs>
      <w:spacing w:after="120"/>
      <w:ind w:left="200" w:leftChars="200" w:firstLine="420"/>
    </w:pPr>
    <w:rPr>
      <w:rFonts w:ascii="Times New Roman"/>
    </w:rPr>
  </w:style>
  <w:style w:type="paragraph" w:styleId="3">
    <w:name w:val="Body Text Indent"/>
    <w:basedOn w:val="1"/>
    <w:next w:val="4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4">
    <w:name w:val="index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彭阳县卫生健康局收文员</cp:lastModifiedBy>
  <dcterms:modified xsi:type="dcterms:W3CDTF">2023-06-06T01:31:37Z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