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彭阳县用气报装事项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流程表</w:t>
      </w:r>
    </w:p>
    <w:tbl>
      <w:tblPr>
        <w:tblStyle w:val="5"/>
        <w:tblpPr w:leftFromText="180" w:rightFromText="180" w:vertAnchor="text" w:horzAnchor="page" w:tblpXSpec="center" w:tblpY="227"/>
        <w:tblOverlap w:val="never"/>
        <w:tblW w:w="9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7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b/>
                <w:bCs/>
                <w:color w:val="auto"/>
              </w:rPr>
            </w:pPr>
            <w:r>
              <w:rPr>
                <w:rFonts w:hint="eastAsia" w:ascii="Times New Roman"/>
                <w:b/>
                <w:bCs/>
                <w:color w:val="auto"/>
              </w:rPr>
              <w:t>事项审批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hint="eastAsia" w:ascii="Times New Roman"/>
                <w:b/>
                <w:bCs/>
                <w:color w:val="auto"/>
              </w:rPr>
              <w:t>职权类别</w:t>
            </w:r>
          </w:p>
        </w:tc>
        <w:tc>
          <w:tcPr>
            <w:tcW w:w="76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hint="eastAsia" w:ascii="Times New Roman"/>
                <w:b/>
                <w:bCs/>
                <w:color w:val="auto"/>
                <w:lang w:eastAsia="zh-CN"/>
              </w:rPr>
              <w:t>事项</w:t>
            </w:r>
            <w:r>
              <w:rPr>
                <w:rFonts w:ascii="Times New Roman"/>
                <w:b/>
                <w:bCs/>
                <w:color w:val="auto"/>
              </w:rPr>
              <w:t>名称</w:t>
            </w:r>
          </w:p>
        </w:tc>
        <w:tc>
          <w:tcPr>
            <w:tcW w:w="76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县城区域内天然气报装审批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hint="eastAsia" w:ascii="Times New Roman"/>
                <w:b/>
                <w:bCs/>
                <w:color w:val="auto"/>
              </w:rPr>
              <w:t>设定依据</w:t>
            </w:r>
          </w:p>
        </w:tc>
        <w:tc>
          <w:tcPr>
            <w:tcW w:w="76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[行政法规]：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城镇燃气设计规范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》GB50028-2006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《燃气服务导则》GB/T28885-2012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3、《城镇燃气输配工程施工及验收规范》CJJ33-2005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4、《现场设备、工业管道焊接工程施工规范》GB 50236-2011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5、《城镇燃气室内工程施工与质量验收规范》 CJJ 94-2009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6、《聚乙烯燃气管道工程技术标准》CJJ63-2018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7、《城镇燃气管理条例》（中华人民共和国国务院令第583号）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8、《宁夏回族自治区燃气管理条例》（宁夏回族自治区人民代表大会常务委员会公告第二十五号）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1050" w:firstLineChars="500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6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/>
                <w:b/>
                <w:bCs/>
                <w:color w:val="auto"/>
              </w:rPr>
              <w:t>流程图</w:t>
            </w:r>
          </w:p>
        </w:tc>
        <w:tc>
          <w:tcPr>
            <w:tcW w:w="76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  <w:tbl>
            <w:tblPr>
              <w:tblStyle w:val="6"/>
              <w:tblW w:w="5070" w:type="dxa"/>
              <w:tblInd w:w="115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2" w:hRule="atLeast"/>
              </w:trPr>
              <w:tc>
                <w:tcPr>
                  <w:tcW w:w="5070" w:type="dxa"/>
                </w:tcPr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1、</w:t>
                  </w:r>
                  <w:r>
                    <w:rPr>
                      <w:rFonts w:hint="eastAsia"/>
                    </w:rPr>
                    <w:t>用户报装申请（可线上报装）</w:t>
                  </w:r>
                  <w:r>
                    <w:rPr>
                      <w:rFonts w:hint="eastAsia"/>
                      <w:lang w:eastAsia="zh-CN"/>
                    </w:rPr>
                    <w:t>，</w:t>
                  </w:r>
                  <w:r>
                    <w:rPr>
                      <w:rFonts w:hint="eastAsia"/>
                      <w:lang w:val="en-US" w:eastAsia="zh-CN"/>
                    </w:rPr>
                    <w:t xml:space="preserve"> 0.5个工作日</w:t>
                  </w:r>
                </w:p>
              </w:tc>
            </w:tr>
          </w:tbl>
          <w:p>
            <w:pPr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       </w:t>
            </w:r>
          </w:p>
          <w:p>
            <w:pPr>
              <w:jc w:val="both"/>
              <w:rPr>
                <w:rFonts w:hint="default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color w:val="auto"/>
                <w:sz w:val="36"/>
                <w:szCs w:val="4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36"/>
                <w:szCs w:val="44"/>
                <w:lang w:val="en-US" w:eastAsia="zh-CN"/>
              </w:rPr>
              <w:t>↓</w:t>
            </w:r>
          </w:p>
          <w:tbl>
            <w:tblPr>
              <w:tblStyle w:val="6"/>
              <w:tblpPr w:leftFromText="180" w:rightFromText="180" w:vertAnchor="text" w:horzAnchor="page" w:tblpX="1226" w:tblpY="163"/>
              <w:tblOverlap w:val="never"/>
              <w:tblW w:w="51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7" w:hRule="atLeast"/>
              </w:trPr>
              <w:tc>
                <w:tcPr>
                  <w:tcW w:w="5195" w:type="dxa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 w:ascii="Times New Roman" w:hAnsi="Times New Roman" w:eastAsiaTheme="minorEastAsia"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2、</w:t>
                  </w:r>
                  <w:r>
                    <w:rPr>
                      <w:rFonts w:hint="eastAsia"/>
                      <w:lang w:eastAsia="zh-CN"/>
                    </w:rPr>
                    <w:t>施工报建，</w:t>
                  </w:r>
                  <w:r>
                    <w:rPr>
                      <w:rFonts w:hint="eastAsia"/>
                      <w:lang w:val="en-US" w:eastAsia="zh-CN"/>
                    </w:rPr>
                    <w:t>8个工作日，特殊情况以合同约定为准。</w:t>
                  </w:r>
                </w:p>
              </w:tc>
            </w:tr>
          </w:tbl>
          <w:p>
            <w:pPr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</w:p>
          <w:tbl>
            <w:tblPr>
              <w:tblStyle w:val="6"/>
              <w:tblpPr w:leftFromText="180" w:rightFromText="180" w:vertAnchor="text" w:horzAnchor="page" w:tblpX="1256" w:tblpY="1991"/>
              <w:tblOverlap w:val="never"/>
              <w:tblW w:w="507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2" w:hRule="atLeast"/>
              </w:trPr>
              <w:tc>
                <w:tcPr>
                  <w:tcW w:w="5070" w:type="dxa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both"/>
                    <w:rPr>
                      <w:rFonts w:hint="default" w:ascii="Times New Roman" w:hAnsi="Times New Roman" w:eastAsiaTheme="minorEastAsia"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3、</w:t>
                  </w:r>
                  <w:r>
                    <w:rPr>
                      <w:rFonts w:hint="eastAsia"/>
                      <w:lang w:eastAsia="zh-CN"/>
                    </w:rPr>
                    <w:t>立户开通，</w:t>
                  </w:r>
                  <w:r>
                    <w:rPr>
                      <w:rFonts w:hint="eastAsia"/>
                      <w:lang w:val="en-US" w:eastAsia="zh-CN"/>
                    </w:rPr>
                    <w:t>1.5个工作日</w:t>
                  </w:r>
                </w:p>
              </w:tc>
            </w:tr>
          </w:tbl>
          <w:p>
            <w:pPr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                   </w:t>
            </w:r>
            <w:r>
              <w:rPr>
                <w:rFonts w:hint="default" w:ascii="Arial" w:hAnsi="Arial" w:cs="Arial"/>
                <w:color w:val="auto"/>
                <w:sz w:val="44"/>
                <w:szCs w:val="52"/>
                <w:lang w:val="en-US" w:eastAsia="zh-CN"/>
              </w:rPr>
              <w:t>↓</w:t>
            </w:r>
            <w:r>
              <w:rPr>
                <w:rFonts w:hint="eastAsia" w:ascii="Times New Roman" w:hAnsi="Times New Roman"/>
                <w:color w:val="auto"/>
                <w:sz w:val="44"/>
                <w:szCs w:val="5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  <w:szCs w:val="32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  </w:t>
            </w:r>
          </w:p>
          <w:p>
            <w:pPr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</w:t>
            </w:r>
          </w:p>
          <w:p>
            <w:pPr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auto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auto"/>
                <w:lang w:eastAsia="zh-CN"/>
              </w:rPr>
              <w:t>事项</w:t>
            </w:r>
          </w:p>
          <w:p>
            <w:pPr>
              <w:spacing w:line="480" w:lineRule="auto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auto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auto"/>
                <w:lang w:eastAsia="zh-CN"/>
              </w:rPr>
              <w:t>办理</w:t>
            </w:r>
          </w:p>
          <w:p>
            <w:pPr>
              <w:spacing w:line="480" w:lineRule="auto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auto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auto"/>
                <w:lang w:eastAsia="zh-CN"/>
              </w:rPr>
              <w:t>材料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auto"/>
                <w:lang w:eastAsia="zh-CN"/>
              </w:rPr>
              <w:t>清单</w:t>
            </w:r>
          </w:p>
        </w:tc>
        <w:tc>
          <w:tcPr>
            <w:tcW w:w="7602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个人用户提供身份证复印件</w:t>
            </w:r>
          </w:p>
          <w:p>
            <w:pPr>
              <w:pStyle w:val="4"/>
              <w:numPr>
                <w:ilvl w:val="0"/>
                <w:numId w:val="2"/>
              </w:numPr>
              <w:ind w:left="200" w:leftChars="0" w:firstLine="42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企业提供营业执照复印件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及终端设施数量、参数</w:t>
            </w:r>
          </w:p>
          <w:p>
            <w:pPr>
              <w:pStyle w:val="4"/>
              <w:numPr>
                <w:ilvl w:val="0"/>
                <w:numId w:val="0"/>
              </w:numPr>
              <w:ind w:left="620" w:leftChars="0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lang w:eastAsia="zh-CN"/>
              </w:rPr>
              <w:t>是否属于容</w:t>
            </w:r>
          </w:p>
          <w:p>
            <w:pPr>
              <w:spacing w:line="240" w:lineRule="auto"/>
              <w:jc w:val="center"/>
              <w:rPr>
                <w:rFonts w:hint="eastAsia" w:ascii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lang w:eastAsia="zh-CN"/>
              </w:rPr>
              <w:t>缺后补事项</w:t>
            </w:r>
          </w:p>
        </w:tc>
        <w:tc>
          <w:tcPr>
            <w:tcW w:w="76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lang w:eastAsia="zh-CN"/>
              </w:rPr>
              <w:t>法定办结时限</w:t>
            </w:r>
          </w:p>
        </w:tc>
        <w:tc>
          <w:tcPr>
            <w:tcW w:w="76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仿宋_GB2312" w:eastAsia="仿宋_GB2312"/>
                <w:color w:val="auto"/>
                <w:szCs w:val="21"/>
                <w:lang w:val="en-US" w:eastAsia="zh-CN"/>
              </w:rPr>
              <w:t>无外线工程接入的不超过4个工作日；有外线工程接入的不超过10个工作日。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lang w:eastAsia="zh-CN"/>
              </w:rPr>
              <w:t>承诺办理时限</w:t>
            </w:r>
          </w:p>
        </w:tc>
        <w:tc>
          <w:tcPr>
            <w:tcW w:w="76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szCs w:val="21"/>
                <w:lang w:val="en-US" w:eastAsia="zh-CN"/>
              </w:rPr>
              <w:t>4-10</w:t>
            </w:r>
            <w:r>
              <w:rPr>
                <w:rFonts w:ascii="Times New Roman" w:hAnsi="仿宋_GB2312" w:eastAsia="仿宋_GB2312"/>
                <w:color w:val="auto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lang w:eastAsia="zh-CN"/>
              </w:rPr>
              <w:t>办理服务表格</w:t>
            </w:r>
          </w:p>
        </w:tc>
        <w:tc>
          <w:tcPr>
            <w:tcW w:w="76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lang w:eastAsia="zh-CN"/>
              </w:rPr>
              <w:t>办理部门（股室）</w:t>
            </w:r>
          </w:p>
        </w:tc>
        <w:tc>
          <w:tcPr>
            <w:tcW w:w="76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szCs w:val="21"/>
                <w:lang w:eastAsia="zh-CN"/>
              </w:rPr>
              <w:t>彭阳县金地燃气有限公司市场部、政务大厅供气窗口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lang w:eastAsia="zh-CN"/>
              </w:rPr>
              <w:t>办理地点</w:t>
            </w:r>
          </w:p>
        </w:tc>
        <w:tc>
          <w:tcPr>
            <w:tcW w:w="76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szCs w:val="21"/>
                <w:lang w:eastAsia="zh-CN"/>
              </w:rPr>
              <w:t>彭阳县财富广场</w:t>
            </w:r>
            <w:r>
              <w:rPr>
                <w:rFonts w:hint="eastAsia" w:ascii="Times New Roman" w:hAnsi="仿宋_GB2312" w:eastAsia="仿宋_GB2312"/>
                <w:color w:val="auto"/>
                <w:szCs w:val="21"/>
                <w:lang w:val="en-US" w:eastAsia="zh-CN"/>
              </w:rPr>
              <w:t>A区35号、悦龙山新区政务大厅一楼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</w:rPr>
              <w:t>办理事项联系人</w:t>
            </w:r>
          </w:p>
        </w:tc>
        <w:tc>
          <w:tcPr>
            <w:tcW w:w="76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szCs w:val="21"/>
                <w:lang w:eastAsia="zh-CN"/>
              </w:rPr>
              <w:t>杨秀淑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lang w:eastAsia="zh-CN"/>
              </w:rPr>
              <w:t>联系方式</w:t>
            </w:r>
          </w:p>
        </w:tc>
        <w:tc>
          <w:tcPr>
            <w:tcW w:w="76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0954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7015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1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/>
                <w:b/>
                <w:bCs/>
                <w:color w:val="auto"/>
              </w:rPr>
              <w:t>监督电话</w:t>
            </w:r>
          </w:p>
        </w:tc>
        <w:tc>
          <w:tcPr>
            <w:tcW w:w="76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13629542513</w:t>
            </w:r>
          </w:p>
        </w:tc>
      </w:tr>
    </w:tbl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8DAEA0"/>
    <w:multiLevelType w:val="singleLevel"/>
    <w:tmpl w:val="D48DAEA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064C60E"/>
    <w:multiLevelType w:val="singleLevel"/>
    <w:tmpl w:val="7064C6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913BB"/>
    <w:rsid w:val="00466F0A"/>
    <w:rsid w:val="00475F41"/>
    <w:rsid w:val="026A1422"/>
    <w:rsid w:val="039B03E0"/>
    <w:rsid w:val="0A806533"/>
    <w:rsid w:val="0BB15B73"/>
    <w:rsid w:val="0FD22422"/>
    <w:rsid w:val="16D56F61"/>
    <w:rsid w:val="19AD587F"/>
    <w:rsid w:val="1B831BEC"/>
    <w:rsid w:val="1F654C3F"/>
    <w:rsid w:val="1FD369C1"/>
    <w:rsid w:val="20533EEB"/>
    <w:rsid w:val="20932D4A"/>
    <w:rsid w:val="219961AD"/>
    <w:rsid w:val="248F517F"/>
    <w:rsid w:val="24D152AC"/>
    <w:rsid w:val="30CA3C82"/>
    <w:rsid w:val="32051838"/>
    <w:rsid w:val="34C8174F"/>
    <w:rsid w:val="382E6FDE"/>
    <w:rsid w:val="40A85DC5"/>
    <w:rsid w:val="4357548F"/>
    <w:rsid w:val="46784176"/>
    <w:rsid w:val="4F3A448C"/>
    <w:rsid w:val="4FBC6386"/>
    <w:rsid w:val="54280C29"/>
    <w:rsid w:val="549D1299"/>
    <w:rsid w:val="5A25241E"/>
    <w:rsid w:val="5C014B64"/>
    <w:rsid w:val="5FB06D72"/>
    <w:rsid w:val="633913BB"/>
    <w:rsid w:val="669E43A9"/>
    <w:rsid w:val="66DD76AE"/>
    <w:rsid w:val="6B8F4C3D"/>
    <w:rsid w:val="6C465BFE"/>
    <w:rsid w:val="728C419F"/>
    <w:rsid w:val="7A825BE8"/>
    <w:rsid w:val="7FF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2019-12-19T10:12:00Z</dcterms:created>
  <dc:creator>烤焦的面包</dc:creator>
  <cp:lastModifiedBy>Administrator</cp:lastModifiedBy>
  <dcterms:modified xsi:type="dcterms:W3CDTF">2020-10-26T03:36:30Z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