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彭阳县茹河水质超标问题整改方案</w:t>
      </w:r>
    </w:p>
    <w:p>
      <w:pPr>
        <w:spacing w:line="520" w:lineRule="exact"/>
        <w:jc w:val="center"/>
        <w:rPr>
          <w:rFonts w:hint="default" w:ascii="Times New Roman" w:hAnsi="Times New Roman" w:eastAsia="方正楷体_GBK" w:cs="Times New Roman"/>
          <w:sz w:val="32"/>
          <w:szCs w:val="32"/>
        </w:rPr>
      </w:pPr>
      <w:bookmarkStart w:id="0" w:name="_GoBack"/>
      <w:bookmarkEnd w:id="0"/>
    </w:p>
    <w:p>
      <w:pPr>
        <w:snapToGrid w:val="0"/>
        <w:spacing w:line="520" w:lineRule="exact"/>
        <w:ind w:firstLine="640"/>
        <w:rPr>
          <w:rFonts w:hint="default" w:ascii="Times New Roman" w:hAnsi="Times New Roman" w:eastAsia="仿宋_GB2312" w:cs="Times New Roman"/>
          <w:color w:val="0000FF"/>
          <w:sz w:val="32"/>
          <w:szCs w:val="32"/>
        </w:rPr>
      </w:pPr>
      <w:r>
        <w:rPr>
          <w:rFonts w:hint="default" w:ascii="Times New Roman" w:hAnsi="Times New Roman" w:eastAsia="方正楷体_GBK" w:cs="Times New Roman"/>
          <w:color w:val="0000FF"/>
          <w:sz w:val="32"/>
          <w:szCs w:val="32"/>
        </w:rPr>
        <w:t xml:space="preserve"> </w:t>
      </w:r>
      <w:r>
        <w:rPr>
          <w:rFonts w:hint="default" w:ascii="Times New Roman" w:hAnsi="Times New Roman" w:eastAsia="仿宋_GB2312" w:cs="Times New Roman"/>
          <w:color w:val="000000"/>
          <w:sz w:val="32"/>
          <w:szCs w:val="32"/>
        </w:rPr>
        <w:t>为全面优化茹河水环境质量，排查分析沟圈断面2019年6月12日强降雨引起水质超标问题及原因，扎实整改</w:t>
      </w:r>
      <w:r>
        <w:rPr>
          <w:rFonts w:hint="default" w:ascii="Times New Roman" w:hAnsi="Times New Roman" w:eastAsia="仿宋_GB2312" w:cs="Times New Roman"/>
          <w:sz w:val="32"/>
          <w:szCs w:val="32"/>
          <w:lang w:eastAsia="zh-CN"/>
        </w:rPr>
        <w:t>存在的</w:t>
      </w:r>
      <w:r>
        <w:rPr>
          <w:rFonts w:hint="default" w:ascii="Times New Roman" w:hAnsi="Times New Roman" w:eastAsia="仿宋_GB2312" w:cs="Times New Roman"/>
          <w:bCs/>
          <w:sz w:val="32"/>
          <w:szCs w:val="32"/>
        </w:rPr>
        <w:t>污水治理设施运行管理不规范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作用发挥不充分</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城市排水系统雨污混排问题突出</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河道液压坝、人工湿地</w:t>
      </w:r>
      <w:r>
        <w:rPr>
          <w:rFonts w:hint="default" w:ascii="Times New Roman" w:hAnsi="Times New Roman" w:eastAsia="仿宋_GB2312" w:cs="Times New Roman"/>
          <w:bCs/>
          <w:sz w:val="32"/>
          <w:szCs w:val="32"/>
          <w:lang w:eastAsia="zh-CN"/>
        </w:rPr>
        <w:t>前期</w:t>
      </w:r>
      <w:r>
        <w:rPr>
          <w:rFonts w:hint="default" w:ascii="Times New Roman" w:hAnsi="Times New Roman" w:eastAsia="仿宋_GB2312" w:cs="Times New Roman"/>
          <w:bCs/>
          <w:sz w:val="32"/>
          <w:szCs w:val="32"/>
        </w:rPr>
        <w:t>水质</w:t>
      </w:r>
      <w:r>
        <w:rPr>
          <w:rFonts w:hint="default" w:ascii="Times New Roman" w:hAnsi="Times New Roman" w:eastAsia="仿宋_GB2312" w:cs="Times New Roman"/>
          <w:bCs/>
          <w:sz w:val="32"/>
          <w:szCs w:val="32"/>
          <w:lang w:eastAsia="zh-CN"/>
        </w:rPr>
        <w:t>出现</w:t>
      </w:r>
      <w:r>
        <w:rPr>
          <w:rFonts w:hint="default" w:ascii="Times New Roman" w:hAnsi="Times New Roman" w:eastAsia="仿宋_GB2312" w:cs="Times New Roman"/>
          <w:bCs/>
          <w:sz w:val="32"/>
          <w:szCs w:val="32"/>
        </w:rPr>
        <w:t>富营养化</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农村生活垃圾、污水处理不到位</w:t>
      </w:r>
      <w:r>
        <w:rPr>
          <w:rFonts w:hint="default" w:ascii="Times New Roman" w:hAnsi="Times New Roman" w:eastAsia="仿宋_GB2312" w:cs="Times New Roman"/>
          <w:bCs/>
          <w:sz w:val="32"/>
          <w:szCs w:val="32"/>
          <w:lang w:eastAsia="zh-CN"/>
        </w:rPr>
        <w:t>等问题</w:t>
      </w:r>
      <w:r>
        <w:rPr>
          <w:rFonts w:hint="default" w:ascii="Times New Roman" w:hAnsi="Times New Roman" w:eastAsia="仿宋_GB2312" w:cs="Times New Roman"/>
          <w:bCs/>
          <w:sz w:val="32"/>
          <w:szCs w:val="32"/>
        </w:rPr>
        <w:t>，</w:t>
      </w:r>
      <w:r>
        <w:rPr>
          <w:rFonts w:hint="default" w:ascii="Times New Roman" w:hAnsi="Times New Roman" w:eastAsia="仿宋_GB2312" w:cs="Times New Roman"/>
          <w:color w:val="000000"/>
          <w:sz w:val="32"/>
          <w:szCs w:val="32"/>
        </w:rPr>
        <w:t>确保水质达到考核目标要求，结合实际制定本方案。</w:t>
      </w:r>
    </w:p>
    <w:p>
      <w:pPr>
        <w:snapToGrid w:val="0"/>
        <w:spacing w:line="520" w:lineRule="exact"/>
        <w:ind w:firstLine="64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一、整改目标</w:t>
      </w:r>
    </w:p>
    <w:p>
      <w:pPr>
        <w:autoSpaceDN w:val="0"/>
        <w:spacing w:line="520" w:lineRule="exact"/>
        <w:ind w:firstLine="64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 改善水环境质量。</w:t>
      </w:r>
      <w:r>
        <w:rPr>
          <w:rFonts w:hint="default" w:ascii="Times New Roman" w:hAnsi="Times New Roman" w:eastAsia="仿宋_GB2312" w:cs="Times New Roman"/>
          <w:sz w:val="32"/>
          <w:szCs w:val="32"/>
        </w:rPr>
        <w:t>采取切实有效措施，确保茹河沟圈断面水质稳定达到Ⅳ类的年度考核目标，达标率为100%。</w:t>
      </w:r>
    </w:p>
    <w:p>
      <w:pPr>
        <w:autoSpaceDN w:val="0"/>
        <w:spacing w:line="5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 整改突出问题。</w:t>
      </w:r>
      <w:r>
        <w:rPr>
          <w:rFonts w:hint="default" w:ascii="Times New Roman" w:hAnsi="Times New Roman" w:eastAsia="仿宋_GB2312" w:cs="Times New Roman"/>
          <w:sz w:val="32"/>
          <w:szCs w:val="32"/>
        </w:rPr>
        <w:t>加强组织领导，紧盯强降雨等极端天气对水质造成的影响，着力解决影响茹河水质稳定达标的突出问题，实施清单制管理，落实部门责任。用硬机制、硬措施，不讲条件、不打折扣，采取逐项整改和验收销号的办法，确保全面整改到位。</w:t>
      </w:r>
    </w:p>
    <w:p>
      <w:pPr>
        <w:autoSpaceDN w:val="0"/>
        <w:spacing w:line="5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 健全长效机制。</w:t>
      </w:r>
      <w:r>
        <w:rPr>
          <w:rFonts w:hint="default" w:ascii="Times New Roman" w:hAnsi="Times New Roman" w:eastAsia="仿宋_GB2312" w:cs="Times New Roman"/>
          <w:sz w:val="32"/>
          <w:szCs w:val="32"/>
        </w:rPr>
        <w:t>以本次整改为契机，坚持源头严防、过程严查、后果严惩，进一步完善水污染防治预警机制、执法检查机制和重点设施运行长效管理机制。</w:t>
      </w:r>
    </w:p>
    <w:p>
      <w:pPr>
        <w:pStyle w:val="2"/>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整改</w:t>
      </w:r>
      <w:r>
        <w:rPr>
          <w:rFonts w:hint="default" w:ascii="Times New Roman" w:hAnsi="Times New Roman" w:eastAsia="黑体" w:cs="Times New Roman"/>
          <w:sz w:val="32"/>
          <w:szCs w:val="32"/>
          <w:lang w:eastAsia="zh-CN"/>
        </w:rPr>
        <w:t>任务及</w:t>
      </w:r>
      <w:r>
        <w:rPr>
          <w:rFonts w:hint="default" w:ascii="Times New Roman" w:hAnsi="Times New Roman" w:eastAsia="黑体" w:cs="Times New Roman"/>
          <w:sz w:val="32"/>
          <w:szCs w:val="32"/>
        </w:rPr>
        <w:t>措施</w:t>
      </w:r>
    </w:p>
    <w:p>
      <w:pPr>
        <w:snapToGrid w:val="0"/>
        <w:spacing w:line="520" w:lineRule="exact"/>
        <w:ind w:firstLine="64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（一）进一步加强治污设施运行管理。</w:t>
      </w:r>
    </w:p>
    <w:p>
      <w:pPr>
        <w:snapToGrid w:val="0"/>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1.加强污水处理厂规范化管理。一是</w:t>
      </w:r>
      <w:r>
        <w:rPr>
          <w:rFonts w:hint="default" w:ascii="Times New Roman" w:hAnsi="Times New Roman" w:eastAsia="仿宋_GB2312" w:cs="Times New Roman"/>
          <w:sz w:val="32"/>
          <w:szCs w:val="32"/>
        </w:rPr>
        <w:t>住建局要加强对县城污水处理厂规范化管理，加快从核心工艺、提升能力着手，及早实施优化改造工程。要</w:t>
      </w:r>
      <w:r>
        <w:rPr>
          <w:rFonts w:hint="default" w:ascii="Times New Roman" w:hAnsi="Times New Roman" w:eastAsia="仿宋_GB2312" w:cs="Times New Roman"/>
          <w:color w:val="000000"/>
          <w:sz w:val="32"/>
          <w:szCs w:val="32"/>
        </w:rPr>
        <w:t>加强技术型人员配置和培训，实施精细化管理，</w:t>
      </w:r>
      <w:r>
        <w:rPr>
          <w:rFonts w:hint="default" w:ascii="Times New Roman" w:hAnsi="Times New Roman" w:eastAsia="仿宋_GB2312" w:cs="Times New Roman"/>
          <w:sz w:val="32"/>
          <w:szCs w:val="32"/>
        </w:rPr>
        <w:t>进一步完善应急预案，认真履行应急报备程序，确保各部门应急措施联动，保证茹河水质达标</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color w:val="000000"/>
          <w:sz w:val="32"/>
          <w:szCs w:val="32"/>
        </w:rPr>
        <w:t>二是</w:t>
      </w:r>
      <w:r>
        <w:rPr>
          <w:rFonts w:hint="default" w:ascii="Times New Roman" w:hAnsi="Times New Roman" w:eastAsia="仿宋_GB2312" w:cs="Times New Roman"/>
          <w:color w:val="000000"/>
          <w:sz w:val="32"/>
          <w:szCs w:val="32"/>
        </w:rPr>
        <w:t>污水处理厂要进一步落实主体责任，对院内雨水系统、中水厂出口管道、井涵进行全面排查封堵，</w:t>
      </w:r>
      <w:r>
        <w:rPr>
          <w:rFonts w:hint="default" w:ascii="Times New Roman" w:hAnsi="Times New Roman" w:eastAsia="仿宋_GB2312" w:cs="Times New Roman"/>
          <w:sz w:val="32"/>
          <w:szCs w:val="32"/>
        </w:rPr>
        <w:t>严禁设置连接厂内至厂外的任何排水管道</w:t>
      </w:r>
      <w:r>
        <w:rPr>
          <w:rFonts w:hint="default" w:ascii="Times New Roman" w:hAnsi="Times New Roman" w:eastAsia="仿宋_GB2312" w:cs="Times New Roman"/>
          <w:color w:val="000000"/>
          <w:sz w:val="32"/>
          <w:szCs w:val="32"/>
        </w:rPr>
        <w:t>；完善格栅间至出口监控设施，对工艺流程和厂区外貌实现</w:t>
      </w:r>
      <w:r>
        <w:rPr>
          <w:rFonts w:hint="default" w:ascii="Times New Roman" w:hAnsi="Times New Roman" w:eastAsia="仿宋_GB2312" w:cs="Times New Roman"/>
          <w:color w:val="000000"/>
          <w:sz w:val="32"/>
          <w:szCs w:val="32"/>
          <w:lang w:eastAsia="zh-CN"/>
        </w:rPr>
        <w:t>监控</w:t>
      </w:r>
      <w:r>
        <w:rPr>
          <w:rFonts w:hint="default" w:ascii="Times New Roman" w:hAnsi="Times New Roman" w:eastAsia="仿宋_GB2312" w:cs="Times New Roman"/>
          <w:color w:val="000000"/>
          <w:sz w:val="32"/>
          <w:szCs w:val="32"/>
        </w:rPr>
        <w:t>全覆盖，保证24小时不间断，健全运行档案台账，实现运行记录、映像资料双印证。</w:t>
      </w:r>
      <w:r>
        <w:rPr>
          <w:rFonts w:hint="default" w:ascii="Times New Roman" w:hAnsi="Times New Roman" w:eastAsia="仿宋_GB2312" w:cs="Times New Roman"/>
          <w:b/>
          <w:color w:val="000000"/>
          <w:sz w:val="32"/>
          <w:szCs w:val="32"/>
        </w:rPr>
        <w:t>三是</w:t>
      </w:r>
      <w:r>
        <w:rPr>
          <w:rFonts w:hint="default" w:ascii="Times New Roman" w:hAnsi="Times New Roman" w:eastAsia="仿宋_GB2312" w:cs="Times New Roman"/>
          <w:color w:val="000000"/>
          <w:sz w:val="32"/>
          <w:szCs w:val="32"/>
        </w:rPr>
        <w:t>农业农村局要及时将无法处理的万寿菊汁液转运到立达尔农业发展有限公司加工厂废水处理站处理，防止因水囊老化破裂污水外溢。</w:t>
      </w:r>
    </w:p>
    <w:p>
      <w:pPr>
        <w:snapToGrid w:val="0"/>
        <w:spacing w:line="52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2.加强河道水体、液压坝和人工湿地运行管理。一是</w:t>
      </w:r>
      <w:r>
        <w:rPr>
          <w:rFonts w:hint="default" w:ascii="Times New Roman" w:hAnsi="Times New Roman" w:eastAsia="仿宋_GB2312" w:cs="Times New Roman"/>
          <w:sz w:val="32"/>
          <w:szCs w:val="32"/>
        </w:rPr>
        <w:t>水务局和住建局按照分段管理责任，要及时巡查清理河道水体漂浮垃圾、水草和水藻，确保不发生水质恶化问题；</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水务局要实施精准管理，在确保河道流量的情况下，减少液压坝升降次数，防止底部已形成稳定的微生物系统不受到过大扰动，影响下游水质；</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水务局要制定科学整改方案，精确调配4个人工湿地接纳污水厂尾水量和河道水量，确保不超负荷接纳污水，全面清理部分黑臭底泥，完善调节池等应急设施，提高处理能力，发挥治污作用。</w:t>
      </w:r>
    </w:p>
    <w:p>
      <w:pPr>
        <w:snapToGrid w:val="0"/>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3.加强沿河农村污水处理站运行管理。</w:t>
      </w:r>
      <w:r>
        <w:rPr>
          <w:rFonts w:hint="default" w:ascii="Times New Roman" w:hAnsi="Times New Roman" w:eastAsia="仿宋_GB2312" w:cs="Times New Roman"/>
          <w:sz w:val="32"/>
          <w:szCs w:val="32"/>
        </w:rPr>
        <w:t xml:space="preserve">项目建设各单位要加快对未投入运行的污水处理站调试，全面投入运行，在确保稳定达标运行的基础上，及时组织竣工验收，力争2019年年底移交第三方运行管理。水务局要加快对古城镇污水站的扩容改造， 确保2019年10月底前投入运行。 </w:t>
      </w:r>
    </w:p>
    <w:p>
      <w:pPr>
        <w:snapToGrid w:val="0"/>
        <w:spacing w:line="520" w:lineRule="exact"/>
        <w:ind w:firstLine="64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（二）进一步加强隐患问题排查整治。</w:t>
      </w:r>
    </w:p>
    <w:p>
      <w:pPr>
        <w:spacing w:line="52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sz w:val="32"/>
          <w:szCs w:val="32"/>
        </w:rPr>
        <w:t>1.全面排查整改县城区雨污混排问题。</w:t>
      </w:r>
      <w:r>
        <w:rPr>
          <w:rFonts w:hint="default" w:ascii="Times New Roman" w:hAnsi="Times New Roman" w:eastAsia="仿宋_GB2312" w:cs="Times New Roman"/>
          <w:sz w:val="32"/>
          <w:szCs w:val="32"/>
        </w:rPr>
        <w:t>住建局要采取科学有效措施，对所有住宅小区、单位院内排水系统全面进行排查，从源头到末端，从院内到街道，形成排查平面图，建立排查问题清单，加大整改力度，确保全面消除雨污管网错接混排问题。同时，</w:t>
      </w:r>
      <w:r>
        <w:rPr>
          <w:rFonts w:hint="default" w:ascii="Times New Roman" w:hAnsi="Times New Roman" w:eastAsia="仿宋_GB2312" w:cs="Times New Roman"/>
          <w:color w:val="000000"/>
          <w:sz w:val="32"/>
          <w:szCs w:val="32"/>
        </w:rPr>
        <w:t>全面排查封堵拆迁和道路改造后遗弃的排水管道。</w:t>
      </w:r>
    </w:p>
    <w:p>
      <w:pPr>
        <w:snapToGrid w:val="0"/>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2.全面排查整治城乡结合部垃圾污水乱堆乱倒问题。一是</w:t>
      </w:r>
      <w:r>
        <w:rPr>
          <w:rFonts w:hint="default" w:ascii="Times New Roman" w:hAnsi="Times New Roman" w:eastAsia="仿宋_GB2312" w:cs="Times New Roman"/>
          <w:sz w:val="32"/>
          <w:szCs w:val="32"/>
        </w:rPr>
        <w:t>县城规划区外由各乡镇负责对村组庄点垃圾进行彻底清理，建立管控长效机制。白阳镇对余沟村、双磨村污水排放问题纳入2019年农村污水治理项目，建设集污管道接入县城市政管网；</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县城规划区内由住建局负责对栖凤花园南侧赵石沟、大沟湾等沟道内、南干渠生活垃圾全面清理，长效纳入城市垃圾收集转运系统，定期清运，严禁乱倒。</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住建局要</w:t>
      </w:r>
      <w:r>
        <w:rPr>
          <w:rFonts w:hint="default" w:ascii="Times New Roman" w:hAnsi="Times New Roman" w:eastAsia="仿宋_GB2312" w:cs="Times New Roman"/>
          <w:color w:val="000000"/>
          <w:sz w:val="32"/>
          <w:szCs w:val="32"/>
          <w:lang w:eastAsia="zh-CN"/>
        </w:rPr>
        <w:t>暂时</w:t>
      </w:r>
      <w:r>
        <w:rPr>
          <w:rFonts w:hint="default" w:ascii="Times New Roman" w:hAnsi="Times New Roman" w:eastAsia="仿宋_GB2312" w:cs="Times New Roman"/>
          <w:sz w:val="32"/>
          <w:szCs w:val="32"/>
        </w:rPr>
        <w:t>封闭杜家沟临时建筑垃圾填埋场，督促转运至建筑垃圾回收企业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彭阳县立德工贸有限公司（原罗堡机砖厂）消纳。同时要将县城区餐厨垃圾、泔水全部转运至有防渗措施的生活垃圾填埋场，做到干湿分离，覆土固化。加强对县城垃圾填埋场渗滤液巡查管控，及时清理回喷再利用，防止强降雨将渗滤液带入河道。</w:t>
      </w:r>
    </w:p>
    <w:p>
      <w:pPr>
        <w:snapToGrid w:val="0"/>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3.全面排查污水提升泵站因故障造成直排问题。</w:t>
      </w:r>
      <w:r>
        <w:rPr>
          <w:rFonts w:hint="default" w:ascii="Times New Roman" w:hAnsi="Times New Roman" w:eastAsia="仿宋_GB2312" w:cs="Times New Roman"/>
          <w:sz w:val="32"/>
          <w:szCs w:val="32"/>
        </w:rPr>
        <w:t>住建局要强化措施，完善制度，定期排查巡检，做好设备应急备用，坚决防止因故障造成污水直排河道。</w:t>
      </w:r>
    </w:p>
    <w:p>
      <w:pPr>
        <w:snapToGrid w:val="0"/>
        <w:spacing w:line="52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4.全面排查茹河河道脏乱差问题。</w:t>
      </w:r>
      <w:r>
        <w:rPr>
          <w:rFonts w:hint="default" w:ascii="Times New Roman" w:hAnsi="Times New Roman" w:eastAsia="仿宋_GB2312" w:cs="Times New Roman"/>
          <w:sz w:val="32"/>
          <w:szCs w:val="32"/>
        </w:rPr>
        <w:t>水务局要对水污染防治工程遗留的临时工地堆料进行全面及时清理，加强河道施工企业文明施工管理，消除脏乱差问题。各乡镇、有关部门要同时跟进，全面排查整治沿河主要养殖场、加工企业和村组农户庄院、粪场、厕所等粪污直排河道问题。</w:t>
      </w:r>
    </w:p>
    <w:p>
      <w:pPr>
        <w:snapToGrid w:val="0"/>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（三）进一步优化管理机制，强化执法监管。</w:t>
      </w:r>
      <w:r>
        <w:rPr>
          <w:rFonts w:hint="default" w:ascii="Times New Roman" w:hAnsi="Times New Roman" w:eastAsia="仿宋_GB2312" w:cs="Times New Roman"/>
          <w:sz w:val="32"/>
          <w:szCs w:val="32"/>
        </w:rPr>
        <w:t>要进一步明确监管责任，确保各项整治措施落实到位。住建局要将李河桥（工业园区）以西、平安大桥（高速出口）以东县城段河道水体内垃圾、水草清理、沿河排污口排查等工作纳入常态化管理。全面整治沿街乱泼乱倒行为，加大宣传教育，逐户签订责任书，依托“智慧城管”平台，加大巡查整治力度，全面消除乱象问题；水务局要细化区域内液压坝的升降、调蓄、调水、维护工作；河长办要加强巡河员督办管理，确保巡河质量和效果，对河道设置拦截坝临时取水，临时施工、偷采河沙、偷倒垃圾、随意洗车等干扰水质的问题进行及时纠正，严厉打击；市生态环境局彭阳分局要加大执法检查力度，实行执法人员分段包干，责任到人，对沿河屠宰场、果品厂、农家乐等涉水工业企业和服务业进行严格监管，督促完善治理设施，建立台账。同时建立“双随机一公开”执法制度，每月抽查一次，对发现问题依法从严从快处置。水污染防治各成员单位、乡镇，要严格执法巡查管理，对发现的问题立即督办处置，该移交的及时移交，该作为乱象整治的要立即整治。</w:t>
      </w:r>
    </w:p>
    <w:p>
      <w:pPr>
        <w:snapToGrid w:val="0"/>
        <w:spacing w:line="520" w:lineRule="exact"/>
        <w:ind w:firstLine="64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（四）进一步加强预警预判管理。</w:t>
      </w:r>
    </w:p>
    <w:p>
      <w:pPr>
        <w:snapToGrid w:val="0"/>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1.完善水质应急预警监测管理。</w:t>
      </w:r>
      <w:r>
        <w:rPr>
          <w:rFonts w:hint="default" w:ascii="Times New Roman" w:hAnsi="Times New Roman" w:eastAsia="仿宋_GB2312" w:cs="Times New Roman"/>
          <w:sz w:val="32"/>
          <w:szCs w:val="32"/>
        </w:rPr>
        <w:t>市生态环境局彭阳分局在做好沿线排污企业排放口定期水质抽检的基础上，与水务局同步对店洼水库出口至沟圈断面设置的17个水质监测点位，每月分上、中、下旬监测3次。水质预警限值为：朝那桥、广安桥液压坝、县城段四号桥和4号人工湿地出口河道断面均不低于Ⅳ类。遇到强降雨、断流和冬季结冰要做好应急监测，加密监测频次，将预警所需监测费用纳入县财政预算安排。</w:t>
      </w:r>
    </w:p>
    <w:p>
      <w:pPr>
        <w:snapToGrid w:val="0"/>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2.完善生态基流保障管理。</w:t>
      </w:r>
      <w:r>
        <w:rPr>
          <w:rFonts w:hint="default" w:ascii="Times New Roman" w:hAnsi="Times New Roman" w:eastAsia="仿宋_GB2312" w:cs="Times New Roman"/>
          <w:sz w:val="32"/>
          <w:szCs w:val="32"/>
        </w:rPr>
        <w:t>水务局要加强茹河流域水库、液压坝的联调联蓄联控系统建设，确保应急时调得出、用得上。建立常态化巡查保障机制，在工业园区水文站、吴川水库下游坝面外漫水桥、沟圈断面设置3个流量检测点，建设在线上传系统进行自动监控，每月与水质监测同步进行手动检测对比，流量预警限值为：水文站、吴川水库下游坝面外漫水桥、沟圈断面流量分别保持在0.3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/s 、0.2m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/s和0.2m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/s以上，确保整体河道生态基流稳定，不发生断流。</w:t>
      </w:r>
    </w:p>
    <w:p>
      <w:pPr>
        <w:snapToGrid w:val="0"/>
        <w:spacing w:line="52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3.建立水质分析研判会议制度。</w:t>
      </w:r>
      <w:r>
        <w:rPr>
          <w:rFonts w:hint="default" w:ascii="Times New Roman" w:hAnsi="Times New Roman" w:eastAsia="仿宋_GB2312" w:cs="Times New Roman"/>
          <w:sz w:val="32"/>
          <w:szCs w:val="32"/>
        </w:rPr>
        <w:t>建立水质预警监测结果互通共享机制，市生态环境局彭阳分局负责每天对沟圈断面水质监测自动站的数据实时监控，向各成员单位和相关乡镇进行共享，确保及时预警到位，并与水务局每月底对水质和流量检测结果进行汇总分析，提出对策建议，提交分析研判会议研究。分析研判会议由政府分管领导主持，河长办、水务局、住建局、农业农村局、工业园区、市生态环境局彭阳分局、白阳镇、古城镇、城阳乡等相关乡镇负责人参加，必要时邀请相关县级领导出席。</w:t>
      </w:r>
    </w:p>
    <w:p>
      <w:pPr>
        <w:autoSpaceDN w:val="0"/>
        <w:spacing w:line="520" w:lineRule="exact"/>
        <w:ind w:firstLine="64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三、整改要求</w:t>
      </w:r>
    </w:p>
    <w:p>
      <w:pPr>
        <w:autoSpaceDN w:val="0"/>
        <w:spacing w:line="5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有关部门要加大茹河保护力度，严格落实“党政同责、一岗双责”</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环境保护主体责任，建立严格的督查督办</w:t>
      </w:r>
      <w:r>
        <w:rPr>
          <w:rFonts w:hint="default" w:ascii="Times New Roman" w:hAnsi="Times New Roman" w:eastAsia="仿宋_GB2312" w:cs="Times New Roman"/>
          <w:sz w:val="32"/>
          <w:szCs w:val="32"/>
          <w:lang w:eastAsia="zh-CN"/>
        </w:rPr>
        <w:t>机制</w:t>
      </w:r>
      <w:r>
        <w:rPr>
          <w:rFonts w:hint="default" w:ascii="Times New Roman" w:hAnsi="Times New Roman" w:eastAsia="仿宋_GB2312" w:cs="Times New Roman"/>
          <w:sz w:val="32"/>
          <w:szCs w:val="32"/>
        </w:rPr>
        <w:t>，形成各司其职、各负其责、密切配合的环境保护工作合力，坚决打好水污染防治攻坚战。</w:t>
      </w:r>
    </w:p>
    <w:p>
      <w:pPr>
        <w:autoSpaceDN w:val="0"/>
        <w:spacing w:line="520" w:lineRule="exact"/>
        <w:ind w:firstLine="64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各相关部门主要负责人要负总责，亲自抓，依据责任清单制定整改方案，举一反三，强化措施，补齐短板，堵塞漏洞，确保排查问题整改到位。</w:t>
      </w:r>
    </w:p>
    <w:p>
      <w:pPr>
        <w:autoSpaceDN w:val="0"/>
        <w:spacing w:line="5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 严格督查督办。</w:t>
      </w:r>
      <w:r>
        <w:rPr>
          <w:rFonts w:hint="default" w:ascii="Times New Roman" w:hAnsi="Times New Roman" w:eastAsia="仿宋_GB2312" w:cs="Times New Roman"/>
          <w:sz w:val="32"/>
          <w:szCs w:val="32"/>
        </w:rPr>
        <w:t>县委督查室会同市生态环境局彭阳分局、县河长办加强整改落实情况的督查督办，实行挂图督办、专案盯办、跟踪问效，定期调度进展情况；同时采取专项督查、明察暗访等方式，全面掌握整改进度，督促整改落实。</w:t>
      </w:r>
    </w:p>
    <w:p>
      <w:pPr>
        <w:autoSpaceDN w:val="0"/>
        <w:spacing w:line="5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 严肃责任追究。</w:t>
      </w:r>
      <w:r>
        <w:rPr>
          <w:rFonts w:hint="default" w:ascii="Times New Roman" w:hAnsi="Times New Roman" w:eastAsia="仿宋_GB2312" w:cs="Times New Roman"/>
          <w:sz w:val="32"/>
          <w:szCs w:val="32"/>
        </w:rPr>
        <w:t>强化问题整改落实，严肃责任追究，对整改不及时、不到位，问题仍然突出和出现反弹造成污染事故的，严肃追究相关责任人的责任。</w:t>
      </w:r>
    </w:p>
    <w:p>
      <w:pPr>
        <w:autoSpaceDN w:val="0"/>
        <w:spacing w:line="520" w:lineRule="exact"/>
        <w:ind w:firstLine="642" w:firstLineChars="200"/>
        <w:rPr>
          <w:rFonts w:hint="default" w:ascii="Times New Roman" w:hAnsi="Times New Roman" w:eastAsia="仿宋_GB2312" w:cs="Times New Roman"/>
          <w:sz w:val="32"/>
          <w:szCs w:val="32"/>
        </w:rPr>
      </w:pPr>
    </w:p>
    <w:p>
      <w:pPr>
        <w:autoSpaceDN w:val="0"/>
        <w:spacing w:line="5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附件：1.彭阳县茹河水质达标整改任务清单</w:t>
      </w:r>
    </w:p>
    <w:p>
      <w:pPr>
        <w:spacing w:line="560" w:lineRule="exact"/>
        <w:jc w:val="left"/>
        <w:rPr>
          <w:rFonts w:hint="default" w:ascii="Times New Roman" w:hAnsi="Times New Roman" w:eastAsia="仿宋_GB2312" w:cs="Times New Roman"/>
          <w:bCs/>
          <w:sz w:val="32"/>
          <w:szCs w:val="32"/>
        </w:rPr>
      </w:pPr>
      <w:r>
        <w:rPr>
          <w:rFonts w:hint="default" w:ascii="Times New Roman" w:hAnsi="Times New Roman" w:cs="Times New Roman"/>
        </w:rPr>
        <w:t xml:space="preserve">               </w:t>
      </w:r>
      <w:r>
        <w:rPr>
          <w:rFonts w:hint="default" w:ascii="Times New Roman" w:hAnsi="Times New Roman" w:eastAsia="仿宋_GB2312" w:cs="Times New Roman"/>
          <w:sz w:val="32"/>
          <w:szCs w:val="32"/>
        </w:rPr>
        <w:t>2.</w:t>
      </w:r>
      <w:r>
        <w:rPr>
          <w:rFonts w:hint="default" w:ascii="Times New Roman" w:hAnsi="Times New Roman" w:eastAsia="仿宋_GB2312" w:cs="Times New Roman"/>
          <w:bCs/>
          <w:sz w:val="32"/>
          <w:szCs w:val="32"/>
        </w:rPr>
        <w:t>茹河全流域水质分段检测点位设置表</w:t>
      </w:r>
    </w:p>
    <w:p>
      <w:pPr>
        <w:pStyle w:val="8"/>
        <w:ind w:firstLine="640"/>
        <w:rPr>
          <w:rFonts w:hint="default" w:ascii="Times New Roman" w:hAnsi="Times New Roman" w:eastAsia="仿宋_GB2312" w:cs="Times New Roman"/>
          <w:sz w:val="32"/>
          <w:szCs w:val="32"/>
        </w:rPr>
      </w:pPr>
    </w:p>
    <w:p>
      <w:pPr>
        <w:autoSpaceDN w:val="0"/>
        <w:spacing w:line="560" w:lineRule="exact"/>
        <w:ind w:firstLine="642" w:firstLineChars="200"/>
        <w:rPr>
          <w:rFonts w:hint="default" w:ascii="Times New Roman" w:hAnsi="Times New Roman" w:eastAsia="仿宋_GB2312" w:cs="Times New Roman"/>
          <w:sz w:val="32"/>
          <w:szCs w:val="32"/>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p>
    <w:p>
      <w:pPr>
        <w:widowControl/>
        <w:snapToGrid w:val="0"/>
        <w:spacing w:line="160" w:lineRule="atLeast"/>
        <w:textAlignment w:val="center"/>
        <w:rPr>
          <w:rFonts w:hint="default" w:ascii="Times New Roman" w:hAnsi="Times New Roman" w:eastAsia="黑体" w:cs="Times New Roman"/>
          <w:color w:val="000000"/>
          <w:sz w:val="32"/>
          <w:szCs w:val="32"/>
          <w:lang w:bidi="ar"/>
        </w:rPr>
        <w:sectPr>
          <w:headerReference r:id="rId3" w:type="default"/>
          <w:footerReference r:id="rId4" w:type="default"/>
          <w:pgSz w:w="11906" w:h="16838"/>
          <w:pgMar w:top="1984" w:right="1588" w:bottom="2098" w:left="1418" w:header="851" w:footer="992" w:gutter="0"/>
          <w:pgNumType w:fmt="numberInDash"/>
          <w:cols w:space="720" w:num="1"/>
          <w:docGrid w:type="linesAndChars" w:linePitch="442" w:charSpace="390"/>
        </w:sectPr>
      </w:pPr>
    </w:p>
    <w:p>
      <w:pPr>
        <w:widowControl/>
        <w:snapToGrid w:val="0"/>
        <w:spacing w:line="160" w:lineRule="atLeast"/>
        <w:textAlignment w:val="center"/>
        <w:rPr>
          <w:rFonts w:hint="default" w:ascii="Times New Roman" w:hAnsi="Times New Roman" w:eastAsia="黑体" w:cs="Times New Roman"/>
          <w:color w:val="000000"/>
          <w:sz w:val="32"/>
          <w:szCs w:val="32"/>
          <w:lang w:bidi="ar"/>
        </w:rPr>
      </w:pPr>
      <w:r>
        <w:rPr>
          <w:rFonts w:hint="default" w:ascii="Times New Roman" w:hAnsi="Times New Roman" w:eastAsia="黑体" w:cs="Times New Roman"/>
          <w:color w:val="000000"/>
          <w:sz w:val="32"/>
          <w:szCs w:val="32"/>
          <w:lang w:bidi="ar"/>
        </w:rPr>
        <w:t>附件1</w:t>
      </w:r>
    </w:p>
    <w:p>
      <w:pPr>
        <w:widowControl/>
        <w:snapToGrid w:val="0"/>
        <w:spacing w:line="160" w:lineRule="atLeast"/>
        <w:jc w:val="center"/>
        <w:textAlignment w:val="center"/>
        <w:rPr>
          <w:rFonts w:hint="default" w:ascii="Times New Roman" w:hAnsi="Times New Roman" w:eastAsia="方正小标宋_GBK" w:cs="Times New Roman"/>
          <w:color w:val="000000"/>
          <w:sz w:val="44"/>
          <w:szCs w:val="44"/>
          <w:lang w:bidi="ar"/>
        </w:rPr>
      </w:pPr>
      <w:r>
        <w:rPr>
          <w:rFonts w:hint="default" w:ascii="Times New Roman" w:hAnsi="Times New Roman" w:eastAsia="方正小标宋_GBK" w:cs="Times New Roman"/>
          <w:color w:val="000000"/>
          <w:sz w:val="44"/>
          <w:szCs w:val="44"/>
          <w:lang w:bidi="ar"/>
        </w:rPr>
        <w:t>彭阳县茹河水质达标整改任务清单</w:t>
      </w:r>
    </w:p>
    <w:tbl>
      <w:tblPr>
        <w:tblStyle w:val="7"/>
        <w:tblW w:w="13497" w:type="dxa"/>
        <w:tblInd w:w="-4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9144"/>
        <w:gridCol w:w="196"/>
        <w:gridCol w:w="1136"/>
        <w:gridCol w:w="139"/>
        <w:gridCol w:w="1067"/>
        <w:gridCol w:w="78"/>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755" w:type="dxa"/>
            <w:vAlign w:val="center"/>
          </w:tcPr>
          <w:p>
            <w:pPr>
              <w:keepNext w:val="0"/>
              <w:keepLines w:val="0"/>
              <w:pageBreakBefore w:val="0"/>
              <w:kinsoku/>
              <w:wordWrap/>
              <w:overflowPunct/>
              <w:topLinePunct w:val="0"/>
              <w:autoSpaceDE w:val="0"/>
              <w:autoSpaceDN w:val="0"/>
              <w:bidi w:val="0"/>
              <w:adjustRightInd/>
              <w:snapToGrid w:val="0"/>
              <w:spacing w:before="0" w:beforeLines="0" w:after="0" w:afterLines="0" w:line="360" w:lineRule="atLeast"/>
              <w:ind w:left="0" w:leftChars="0" w:right="0" w:rightChars="0" w:firstLine="0" w:firstLineChars="0"/>
              <w:jc w:val="center"/>
              <w:outlineLvl w:val="9"/>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9144" w:type="dxa"/>
            <w:vAlign w:val="center"/>
          </w:tcPr>
          <w:p>
            <w:pPr>
              <w:keepNext w:val="0"/>
              <w:keepLines w:val="0"/>
              <w:pageBreakBefore w:val="0"/>
              <w:kinsoku/>
              <w:wordWrap/>
              <w:overflowPunct/>
              <w:topLinePunct w:val="0"/>
              <w:autoSpaceDE w:val="0"/>
              <w:autoSpaceDN w:val="0"/>
              <w:bidi w:val="0"/>
              <w:adjustRightInd/>
              <w:snapToGrid w:val="0"/>
              <w:spacing w:before="0" w:beforeLines="0" w:after="0" w:afterLines="0" w:line="360" w:lineRule="atLeast"/>
              <w:ind w:left="0" w:leftChars="0" w:right="0" w:rightChars="0" w:firstLine="0" w:firstLineChars="0"/>
              <w:jc w:val="center"/>
              <w:outlineLvl w:val="9"/>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整改内容及要求</w:t>
            </w:r>
          </w:p>
        </w:tc>
        <w:tc>
          <w:tcPr>
            <w:tcW w:w="1332" w:type="dxa"/>
            <w:gridSpan w:val="2"/>
            <w:vAlign w:val="center"/>
          </w:tcPr>
          <w:p>
            <w:pPr>
              <w:keepNext w:val="0"/>
              <w:keepLines w:val="0"/>
              <w:pageBreakBefore w:val="0"/>
              <w:kinsoku/>
              <w:wordWrap/>
              <w:overflowPunct/>
              <w:topLinePunct w:val="0"/>
              <w:autoSpaceDE w:val="0"/>
              <w:autoSpaceDN w:val="0"/>
              <w:bidi w:val="0"/>
              <w:adjustRightInd/>
              <w:snapToGrid w:val="0"/>
              <w:spacing w:before="0" w:beforeLines="0" w:after="0" w:afterLines="0" w:line="360" w:lineRule="atLeast"/>
              <w:ind w:left="0" w:leftChars="0" w:right="0" w:rightChars="0" w:firstLine="0" w:firstLineChars="0"/>
              <w:jc w:val="center"/>
              <w:outlineLvl w:val="9"/>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完成期限</w:t>
            </w:r>
          </w:p>
        </w:tc>
        <w:tc>
          <w:tcPr>
            <w:tcW w:w="1284" w:type="dxa"/>
            <w:gridSpan w:val="3"/>
            <w:vAlign w:val="center"/>
          </w:tcPr>
          <w:p>
            <w:pPr>
              <w:keepNext w:val="0"/>
              <w:keepLines w:val="0"/>
              <w:pageBreakBefore w:val="0"/>
              <w:kinsoku/>
              <w:wordWrap/>
              <w:overflowPunct/>
              <w:topLinePunct w:val="0"/>
              <w:autoSpaceDE w:val="0"/>
              <w:autoSpaceDN w:val="0"/>
              <w:bidi w:val="0"/>
              <w:adjustRightInd/>
              <w:snapToGrid w:val="0"/>
              <w:spacing w:before="0" w:beforeLines="0" w:after="0" w:afterLines="0" w:line="360" w:lineRule="atLeast"/>
              <w:ind w:left="0" w:leftChars="0" w:right="0" w:rightChars="0" w:firstLine="0" w:firstLineChars="0"/>
              <w:jc w:val="center"/>
              <w:outlineLvl w:val="9"/>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责任单位</w:t>
            </w:r>
          </w:p>
        </w:tc>
        <w:tc>
          <w:tcPr>
            <w:tcW w:w="982" w:type="dxa"/>
            <w:vAlign w:val="center"/>
          </w:tcPr>
          <w:p>
            <w:pPr>
              <w:keepNext w:val="0"/>
              <w:keepLines w:val="0"/>
              <w:pageBreakBefore w:val="0"/>
              <w:kinsoku/>
              <w:wordWrap/>
              <w:overflowPunct/>
              <w:topLinePunct w:val="0"/>
              <w:autoSpaceDE w:val="0"/>
              <w:autoSpaceDN w:val="0"/>
              <w:bidi w:val="0"/>
              <w:adjustRightInd/>
              <w:snapToGrid w:val="0"/>
              <w:spacing w:before="0" w:beforeLines="0" w:after="0" w:afterLines="0" w:line="360" w:lineRule="atLeast"/>
              <w:ind w:left="0" w:leftChars="0" w:right="0" w:rightChars="0" w:firstLine="0" w:firstLineChars="0"/>
              <w:jc w:val="center"/>
              <w:outlineLvl w:val="9"/>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b/>
                <w:color w:val="000000"/>
                <w:kern w:val="0"/>
                <w:szCs w:val="21"/>
                <w:lang w:bidi="ar"/>
              </w:rPr>
            </w:pPr>
            <w:r>
              <w:rPr>
                <w:rFonts w:hint="default" w:ascii="Times New Roman" w:hAnsi="Times New Roman" w:eastAsia="仿宋_GB2312" w:cs="Times New Roman"/>
                <w:b/>
                <w:color w:val="000000"/>
                <w:kern w:val="0"/>
                <w:szCs w:val="21"/>
                <w:lang w:bidi="ar"/>
              </w:rPr>
              <w:t>一</w:t>
            </w:r>
          </w:p>
        </w:tc>
        <w:tc>
          <w:tcPr>
            <w:tcW w:w="12742" w:type="dxa"/>
            <w:gridSpan w:val="7"/>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b/>
                <w:color w:val="000000"/>
                <w:kern w:val="0"/>
                <w:szCs w:val="21"/>
                <w:lang w:bidi="ar"/>
              </w:rPr>
              <w:t>强化污水处理厂优化管理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实施县城污水处理厂优化整改项目，加强运行管理，确保长期达标排放。</w:t>
            </w:r>
          </w:p>
        </w:tc>
        <w:tc>
          <w:tcPr>
            <w:tcW w:w="1332"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10月底/  长期坚持</w:t>
            </w:r>
          </w:p>
        </w:tc>
        <w:tc>
          <w:tcPr>
            <w:tcW w:w="1206"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 xml:space="preserve">制定县城污水处理厂应急预案，认真履行报备程序，强化精准管控，注重下雨初期高浓度混合水的收集处理。 </w:t>
            </w:r>
          </w:p>
        </w:tc>
        <w:tc>
          <w:tcPr>
            <w:tcW w:w="1332"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 长期坚持</w:t>
            </w:r>
          </w:p>
        </w:tc>
        <w:tc>
          <w:tcPr>
            <w:tcW w:w="1206"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建设实施县城污水处理厂格栅间至出口全工艺流程电子监控全覆盖，保证24小时不间断，实现运行记录、映像资料双印证。</w:t>
            </w:r>
          </w:p>
        </w:tc>
        <w:tc>
          <w:tcPr>
            <w:tcW w:w="1332"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 长期坚持</w:t>
            </w:r>
          </w:p>
        </w:tc>
        <w:tc>
          <w:tcPr>
            <w:tcW w:w="1206"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4</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进一步落实主体责任，全面排查整改，切断连接污水处理厂厂区内外的其他所有排水管网，符合运行规范。</w:t>
            </w:r>
          </w:p>
        </w:tc>
        <w:tc>
          <w:tcPr>
            <w:tcW w:w="1332"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206"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b/>
                <w:color w:val="000000"/>
                <w:kern w:val="0"/>
                <w:szCs w:val="21"/>
                <w:lang w:bidi="ar"/>
              </w:rPr>
            </w:pPr>
            <w:r>
              <w:rPr>
                <w:rFonts w:hint="default" w:ascii="Times New Roman" w:hAnsi="Times New Roman" w:eastAsia="仿宋_GB2312" w:cs="Times New Roman"/>
                <w:b/>
                <w:color w:val="000000"/>
                <w:kern w:val="0"/>
                <w:szCs w:val="21"/>
                <w:lang w:bidi="ar"/>
              </w:rPr>
              <w:t>二</w:t>
            </w:r>
          </w:p>
        </w:tc>
        <w:tc>
          <w:tcPr>
            <w:tcW w:w="12742" w:type="dxa"/>
            <w:gridSpan w:val="7"/>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b/>
                <w:color w:val="000000"/>
                <w:kern w:val="0"/>
                <w:szCs w:val="21"/>
                <w:lang w:bidi="ar"/>
              </w:rPr>
              <w:t>强化基础设施运行管理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5</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加大对县城南门桥下、县医院等6座污水提升泵站的运行管理，做好应急设备备用，坚决防止因故障造成污水直排茹河问题发生。</w:t>
            </w:r>
          </w:p>
        </w:tc>
        <w:tc>
          <w:tcPr>
            <w:tcW w:w="1471" w:type="dxa"/>
            <w:gridSpan w:val="3"/>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6</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对所有住宅小区、单位院内排水系统全面排查检查，形成排查现状问题平面图，建立问题清单，立行立改，彻底消除污水直排问题；对因城市拆迁、道路改造遗弃的排水管道予以封堵。</w:t>
            </w:r>
          </w:p>
        </w:tc>
        <w:tc>
          <w:tcPr>
            <w:tcW w:w="1471" w:type="dxa"/>
            <w:gridSpan w:val="3"/>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7</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严格杜家沟临时建筑垃圾填埋场入场监管，严禁建筑垃圾参入生活垃圾和餐厨垃圾、泔水，对县城餐厨垃圾、泔水全部转运至生活垃圾填埋场处理，并做到干湿分离，对液体部分及时覆土固化；在正常条件下，优先引导拆迁企业将建筑垃圾转运至专门回收再利用企业消纳。</w:t>
            </w:r>
          </w:p>
        </w:tc>
        <w:tc>
          <w:tcPr>
            <w:tcW w:w="1471" w:type="dxa"/>
            <w:gridSpan w:val="3"/>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8</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强化液压坝管理，减少河道液压坝升降次数，防止底部已形成稳定的微生物系统受到过大扰动，影响下游水质变化引起超标问题；</w:t>
            </w:r>
          </w:p>
        </w:tc>
        <w:tc>
          <w:tcPr>
            <w:tcW w:w="1471" w:type="dxa"/>
            <w:gridSpan w:val="3"/>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 长期坚持</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水务局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张小平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9</w:t>
            </w:r>
          </w:p>
        </w:tc>
        <w:tc>
          <w:tcPr>
            <w:tcW w:w="9144"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强化人工湿地科学管理，制定专项整改方案，对出现黑臭底泥进行彻底清理，确保不出现超负荷运行和水质恶化问题。</w:t>
            </w:r>
          </w:p>
        </w:tc>
        <w:tc>
          <w:tcPr>
            <w:tcW w:w="1471" w:type="dxa"/>
            <w:gridSpan w:val="3"/>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 长期坚持</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水务局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张小平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b/>
                <w:color w:val="000000"/>
                <w:kern w:val="0"/>
                <w:szCs w:val="21"/>
                <w:lang w:bidi="ar"/>
              </w:rPr>
            </w:pPr>
            <w:r>
              <w:rPr>
                <w:rFonts w:hint="default" w:ascii="Times New Roman" w:hAnsi="Times New Roman" w:eastAsia="仿宋_GB2312" w:cs="Times New Roman"/>
                <w:b/>
                <w:color w:val="000000"/>
                <w:kern w:val="0"/>
                <w:szCs w:val="21"/>
                <w:lang w:bidi="ar"/>
              </w:rPr>
              <w:t>三</w:t>
            </w:r>
          </w:p>
        </w:tc>
        <w:tc>
          <w:tcPr>
            <w:tcW w:w="12742" w:type="dxa"/>
            <w:gridSpan w:val="7"/>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b/>
                <w:color w:val="000000"/>
                <w:kern w:val="0"/>
                <w:szCs w:val="21"/>
                <w:lang w:bidi="ar"/>
              </w:rPr>
              <w:t>加强流域内城乡结合部及农村环境综合整治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10</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加快农村污水处理站运行管理，其中：水务局负责古城镇街道 海口、乃河、任河、店洼、</w:t>
            </w:r>
            <w:r>
              <w:rPr>
                <w:rFonts w:hint="default" w:ascii="Times New Roman" w:hAnsi="Times New Roman" w:eastAsia="仿宋_GB2312" w:cs="Times New Roman"/>
                <w:color w:val="000000"/>
                <w:szCs w:val="21"/>
              </w:rPr>
              <w:t>吴川、马山、陈沟、杨坪、沟圈</w:t>
            </w:r>
            <w:r>
              <w:rPr>
                <w:rFonts w:hint="default" w:ascii="Times New Roman" w:hAnsi="Times New Roman" w:eastAsia="仿宋_GB2312" w:cs="Times New Roman"/>
                <w:color w:val="000000"/>
                <w:kern w:val="0"/>
                <w:szCs w:val="21"/>
                <w:lang w:bidi="ar"/>
              </w:rPr>
              <w:t>等10个站， 住建局负责古城高庄、白阳镇张磨塬、城阳乡（2个）</w:t>
            </w:r>
            <w:r>
              <w:rPr>
                <w:rFonts w:hint="default" w:ascii="Times New Roman" w:hAnsi="Times New Roman" w:eastAsia="仿宋_GB2312" w:cs="Times New Roman"/>
                <w:color w:val="000000"/>
                <w:kern w:val="0"/>
                <w:szCs w:val="21"/>
                <w:lang w:eastAsia="zh-CN" w:bidi="ar"/>
              </w:rPr>
              <w:t>、</w:t>
            </w:r>
            <w:r>
              <w:rPr>
                <w:rFonts w:hint="default" w:ascii="Times New Roman" w:hAnsi="Times New Roman" w:eastAsia="仿宋_GB2312" w:cs="Times New Roman"/>
                <w:color w:val="000000"/>
                <w:kern w:val="0"/>
                <w:szCs w:val="21"/>
                <w:lang w:bidi="ar"/>
              </w:rPr>
              <w:t>4个站。</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 长期坚持</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水务局 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张小平 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11</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大对河流水体漂浮物清理打捞，确保不发生水质恶化问题，住建局负责平安大桥以东至李河桥以西区域（县城段）液压坝水体漂浮垃圾、水草和水藻及时清理；水务局负责县城段之外全流域河道水体水藻和枯死水草的打捞清理。</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 长期坚持</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 水务局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 xml:space="preserve">王继讲 张小平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12</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加大对县城规划区内栖凤花园南侧赵石沟、大沟湾等沟道内、南干渠生活垃圾全面清理，长期纳入城市垃圾收转运系统，定期清运，严禁乱倒乱堆。</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 长期坚持</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13</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加大对县城规划区外白阳镇余沟村、双磨村等村庄垃圾、养殖粪场、堆点清理整顿，建立长效管理机制；对余沟村污水排放问题纳入2019年农村污水治理项目，建设集污管道接入县城市政集污管网处理。</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 长期坚持</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白阳镇</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乔  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14</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加强对县城及所有乡镇垃圾填埋场运行管理，及时覆土压实，对渗滤液及时回喷利用，防止强降雨时渗滤液外溢流入河道；对古城镇等乡镇已达到设计使用年限的垃圾填埋场进行整治，该封场的及时封场。</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15</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对水污染防治工程遗留的临时工地堆料场、拌合站、采砂厂进行全面清理，消除脏乱差影响水质问题，强化茹河河道施工企业文明施工管理，减少对水质扰动影响。</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水务局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张小平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16</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各有关部门、乡镇要及时跟进，全面排查沿河养殖场和村组农户庄园、粪场、厕所污染物受雨水冲刷进入河道问题，全面消除所有直排茹河隐患。</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农业农村局、各乡镇</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白云鹏</w:t>
            </w:r>
          </w:p>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乡镇负责人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b/>
                <w:color w:val="000000"/>
                <w:kern w:val="0"/>
                <w:szCs w:val="21"/>
                <w:lang w:bidi="ar"/>
              </w:rPr>
            </w:pPr>
            <w:r>
              <w:rPr>
                <w:rFonts w:hint="default" w:ascii="Times New Roman" w:hAnsi="Times New Roman" w:eastAsia="仿宋_GB2312" w:cs="Times New Roman"/>
                <w:b/>
                <w:color w:val="000000"/>
                <w:kern w:val="0"/>
                <w:szCs w:val="21"/>
                <w:lang w:bidi="ar"/>
              </w:rPr>
              <w:t>四</w:t>
            </w:r>
          </w:p>
        </w:tc>
        <w:tc>
          <w:tcPr>
            <w:tcW w:w="12742" w:type="dxa"/>
            <w:gridSpan w:val="7"/>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b/>
                <w:color w:val="000000"/>
                <w:kern w:val="0"/>
                <w:szCs w:val="21"/>
                <w:lang w:bidi="ar"/>
              </w:rPr>
              <w:t>加强生态环境执法管理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17</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加大执法力度，对沿河屠宰场、果品厂、养殖场、农家乐等企业进行严格巡查监管，督促完善治理设施，建立整治台账。</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环境分局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虎  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18</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加强巡河员管理，确保巡河质量和效果，对河道临时取水、施工、偷采、偷倒、洗车等问题及时纠正，严厉打击。</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水务局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张小平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19</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加大对县城沿街乱泼乱倒行为的宣传教育整治力度，全面消除乱象问题。</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住建局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王继讲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20</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强化万寿菊汁水规范管理，</w:t>
            </w:r>
            <w:r>
              <w:rPr>
                <w:rFonts w:hint="default" w:ascii="Times New Roman" w:hAnsi="Times New Roman" w:eastAsia="仿宋_GB2312" w:cs="Times New Roman"/>
                <w:color w:val="000000"/>
                <w:kern w:val="0"/>
                <w:szCs w:val="21"/>
                <w:lang w:bidi="ar"/>
              </w:rPr>
              <w:fldChar w:fldCharType="begin"/>
            </w:r>
            <w:r>
              <w:rPr>
                <w:rFonts w:hint="default" w:ascii="Times New Roman" w:hAnsi="Times New Roman" w:eastAsia="仿宋_GB2312" w:cs="Times New Roman"/>
                <w:color w:val="000000"/>
                <w:kern w:val="0"/>
                <w:szCs w:val="21"/>
                <w:lang w:bidi="ar"/>
              </w:rPr>
              <w:instrText xml:space="preserve"> = 1 \* GB3 </w:instrText>
            </w:r>
            <w:r>
              <w:rPr>
                <w:rFonts w:hint="default" w:ascii="Times New Roman" w:hAnsi="Times New Roman" w:eastAsia="仿宋_GB2312" w:cs="Times New Roman"/>
                <w:color w:val="000000"/>
                <w:kern w:val="0"/>
                <w:szCs w:val="21"/>
                <w:lang w:bidi="ar"/>
              </w:rPr>
              <w:fldChar w:fldCharType="separate"/>
            </w:r>
            <w:r>
              <w:rPr>
                <w:rFonts w:hint="default" w:ascii="Times New Roman" w:hAnsi="Times New Roman" w:eastAsia="仿宋_GB2312" w:cs="Times New Roman"/>
                <w:color w:val="000000"/>
                <w:kern w:val="0"/>
                <w:szCs w:val="21"/>
                <w:lang w:bidi="ar"/>
              </w:rPr>
              <w:t>①</w:t>
            </w:r>
            <w:r>
              <w:rPr>
                <w:rFonts w:hint="default" w:ascii="Times New Roman" w:hAnsi="Times New Roman" w:eastAsia="仿宋_GB2312" w:cs="Times New Roman"/>
                <w:color w:val="000000"/>
                <w:kern w:val="0"/>
                <w:szCs w:val="21"/>
                <w:lang w:bidi="ar"/>
              </w:rPr>
              <w:fldChar w:fldCharType="end"/>
            </w:r>
            <w:r>
              <w:rPr>
                <w:rFonts w:hint="default" w:ascii="Times New Roman" w:hAnsi="Times New Roman" w:eastAsia="仿宋_GB2312" w:cs="Times New Roman"/>
                <w:color w:val="000000"/>
                <w:kern w:val="0"/>
                <w:szCs w:val="21"/>
                <w:lang w:bidi="ar"/>
              </w:rPr>
              <w:t>加强对万寿菊收花点汁水储存池（尤其是冯庄小园子、新集卯堡两个点）汁水转运跟踪督办，做到日产日清；</w:t>
            </w:r>
            <w:r>
              <w:rPr>
                <w:rFonts w:hint="default" w:ascii="Times New Roman" w:hAnsi="Times New Roman" w:eastAsia="仿宋_GB2312" w:cs="Times New Roman"/>
                <w:color w:val="000000"/>
                <w:kern w:val="0"/>
                <w:szCs w:val="21"/>
                <w:lang w:bidi="ar"/>
              </w:rPr>
              <w:fldChar w:fldCharType="begin"/>
            </w:r>
            <w:r>
              <w:rPr>
                <w:rFonts w:hint="default" w:ascii="Times New Roman" w:hAnsi="Times New Roman" w:eastAsia="仿宋_GB2312" w:cs="Times New Roman"/>
                <w:color w:val="000000"/>
                <w:kern w:val="0"/>
                <w:szCs w:val="21"/>
                <w:lang w:bidi="ar"/>
              </w:rPr>
              <w:instrText xml:space="preserve"> = 2 \* GB3 </w:instrText>
            </w:r>
            <w:r>
              <w:rPr>
                <w:rFonts w:hint="default" w:ascii="Times New Roman" w:hAnsi="Times New Roman" w:eastAsia="仿宋_GB2312" w:cs="Times New Roman"/>
                <w:color w:val="000000"/>
                <w:kern w:val="0"/>
                <w:szCs w:val="21"/>
                <w:lang w:bidi="ar"/>
              </w:rPr>
              <w:fldChar w:fldCharType="separate"/>
            </w:r>
            <w:r>
              <w:rPr>
                <w:rFonts w:hint="default" w:ascii="Times New Roman" w:hAnsi="Times New Roman" w:eastAsia="仿宋_GB2312" w:cs="Times New Roman"/>
                <w:color w:val="000000"/>
                <w:kern w:val="0"/>
                <w:szCs w:val="21"/>
                <w:lang w:bidi="ar"/>
              </w:rPr>
              <w:t>②</w:t>
            </w:r>
            <w:r>
              <w:rPr>
                <w:rFonts w:hint="default" w:ascii="Times New Roman" w:hAnsi="Times New Roman" w:eastAsia="仿宋_GB2312" w:cs="Times New Roman"/>
                <w:color w:val="000000"/>
                <w:kern w:val="0"/>
                <w:szCs w:val="21"/>
                <w:lang w:bidi="ar"/>
              </w:rPr>
              <w:fldChar w:fldCharType="end"/>
            </w:r>
            <w:r>
              <w:rPr>
                <w:rFonts w:hint="default" w:ascii="Times New Roman" w:hAnsi="Times New Roman" w:eastAsia="仿宋_GB2312" w:cs="Times New Roman"/>
                <w:color w:val="000000"/>
                <w:kern w:val="0"/>
                <w:szCs w:val="21"/>
                <w:lang w:bidi="ar"/>
              </w:rPr>
              <w:t>在收花之前完成所有未采取防渗措施的汁水储存池规范建设；</w:t>
            </w:r>
            <w:r>
              <w:rPr>
                <w:rFonts w:hint="default" w:ascii="Times New Roman" w:hAnsi="Times New Roman" w:eastAsia="仿宋_GB2312" w:cs="Times New Roman"/>
                <w:color w:val="000000"/>
                <w:kern w:val="0"/>
                <w:szCs w:val="21"/>
                <w:lang w:bidi="ar"/>
              </w:rPr>
              <w:fldChar w:fldCharType="begin"/>
            </w:r>
            <w:r>
              <w:rPr>
                <w:rFonts w:hint="default" w:ascii="Times New Roman" w:hAnsi="Times New Roman" w:eastAsia="仿宋_GB2312" w:cs="Times New Roman"/>
                <w:color w:val="000000"/>
                <w:kern w:val="0"/>
                <w:szCs w:val="21"/>
                <w:lang w:bidi="ar"/>
              </w:rPr>
              <w:instrText xml:space="preserve"> = 3 \* GB3 </w:instrText>
            </w:r>
            <w:r>
              <w:rPr>
                <w:rFonts w:hint="default" w:ascii="Times New Roman" w:hAnsi="Times New Roman" w:eastAsia="仿宋_GB2312" w:cs="Times New Roman"/>
                <w:color w:val="000000"/>
                <w:kern w:val="0"/>
                <w:szCs w:val="21"/>
                <w:lang w:bidi="ar"/>
              </w:rPr>
              <w:fldChar w:fldCharType="separate"/>
            </w:r>
            <w:r>
              <w:rPr>
                <w:rFonts w:hint="default" w:ascii="Times New Roman" w:hAnsi="Times New Roman" w:eastAsia="仿宋_GB2312" w:cs="Times New Roman"/>
                <w:color w:val="000000"/>
                <w:kern w:val="0"/>
                <w:szCs w:val="21"/>
                <w:lang w:bidi="ar"/>
              </w:rPr>
              <w:t>③</w:t>
            </w:r>
            <w:r>
              <w:rPr>
                <w:rFonts w:hint="default" w:ascii="Times New Roman" w:hAnsi="Times New Roman" w:eastAsia="仿宋_GB2312" w:cs="Times New Roman"/>
                <w:color w:val="000000"/>
                <w:kern w:val="0"/>
                <w:szCs w:val="21"/>
                <w:lang w:bidi="ar"/>
              </w:rPr>
              <w:fldChar w:fldCharType="end"/>
            </w:r>
            <w:r>
              <w:rPr>
                <w:rFonts w:hint="default" w:ascii="Times New Roman" w:hAnsi="Times New Roman" w:eastAsia="仿宋_GB2312" w:cs="Times New Roman"/>
                <w:color w:val="000000"/>
                <w:kern w:val="0"/>
                <w:szCs w:val="21"/>
                <w:lang w:bidi="ar"/>
              </w:rPr>
              <w:t>对县城污水处理厂积存的万寿菊汁水转回草庙万寿菊加工厂专用处理站进行处理，防止水囊老化破裂造成隐患。</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农业农村局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白云鹏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b/>
                <w:color w:val="000000"/>
                <w:kern w:val="0"/>
                <w:szCs w:val="21"/>
                <w:lang w:bidi="ar"/>
              </w:rPr>
            </w:pPr>
            <w:r>
              <w:rPr>
                <w:rFonts w:hint="default" w:ascii="Times New Roman" w:hAnsi="Times New Roman" w:eastAsia="仿宋_GB2312" w:cs="Times New Roman"/>
                <w:b/>
                <w:color w:val="000000"/>
                <w:kern w:val="0"/>
                <w:szCs w:val="21"/>
                <w:lang w:bidi="ar"/>
              </w:rPr>
              <w:t>五</w:t>
            </w:r>
          </w:p>
        </w:tc>
        <w:tc>
          <w:tcPr>
            <w:tcW w:w="12742" w:type="dxa"/>
            <w:gridSpan w:val="7"/>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b/>
                <w:color w:val="000000"/>
                <w:kern w:val="0"/>
                <w:szCs w:val="21"/>
                <w:lang w:bidi="ar"/>
              </w:rPr>
              <w:t>加强水质预警研判管理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21</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建立水质监测制度，合理设置监测点位，强化应急监测，共享监测数据，确保及时预警到位。</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水务局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张小平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22</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建立生态基流分段检测保障制度，加强上游水库、液压坝联调联蓄联控管理，严禁河道断流，确保河道生态基流稳定。</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长期坚持</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水务局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张小平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55"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23</w:t>
            </w:r>
          </w:p>
        </w:tc>
        <w:tc>
          <w:tcPr>
            <w:tcW w:w="934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建立水质问题研判分析例会制度，定期研判分析存在的问题，及时开展预警工作。</w:t>
            </w:r>
          </w:p>
        </w:tc>
        <w:tc>
          <w:tcPr>
            <w:tcW w:w="1275"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立即整改</w:t>
            </w:r>
          </w:p>
        </w:tc>
        <w:tc>
          <w:tcPr>
            <w:tcW w:w="1067" w:type="dxa"/>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环境分局</w:t>
            </w:r>
          </w:p>
        </w:tc>
        <w:tc>
          <w:tcPr>
            <w:tcW w:w="1060" w:type="dxa"/>
            <w:gridSpan w:val="2"/>
            <w:vAlign w:val="center"/>
          </w:tcPr>
          <w:p>
            <w:pPr>
              <w:keepNext w:val="0"/>
              <w:keepLines w:val="0"/>
              <w:pageBreakBefore w:val="0"/>
              <w:widowControl/>
              <w:kinsoku/>
              <w:wordWrap/>
              <w:overflowPunct/>
              <w:topLinePunct w:val="0"/>
              <w:bidi w:val="0"/>
              <w:adjustRightInd/>
              <w:snapToGrid w:val="0"/>
              <w:spacing w:before="0" w:beforeLines="0" w:after="0" w:afterLines="0" w:line="360" w:lineRule="atLeas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虎  攀</w:t>
            </w:r>
          </w:p>
        </w:tc>
      </w:tr>
    </w:tbl>
    <w:p>
      <w:pPr>
        <w:widowControl/>
        <w:snapToGrid w:val="0"/>
        <w:spacing w:line="160" w:lineRule="atLeast"/>
        <w:textAlignment w:val="center"/>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黑体" w:cs="Times New Roman"/>
          <w:sz w:val="30"/>
          <w:szCs w:val="30"/>
        </w:rPr>
      </w:pPr>
    </w:p>
    <w:p>
      <w:pPr>
        <w:spacing w:line="560" w:lineRule="exact"/>
        <w:jc w:val="left"/>
        <w:rPr>
          <w:rFonts w:hint="default" w:ascii="Times New Roman" w:hAnsi="Times New Roman" w:eastAsia="黑体" w:cs="Times New Roman"/>
          <w:sz w:val="30"/>
          <w:szCs w:val="30"/>
        </w:rPr>
      </w:pPr>
    </w:p>
    <w:p>
      <w:pPr>
        <w:spacing w:line="560" w:lineRule="exact"/>
        <w:jc w:val="left"/>
        <w:rPr>
          <w:rFonts w:hint="default" w:ascii="Times New Roman" w:hAnsi="Times New Roman" w:eastAsia="黑体" w:cs="Times New Roman"/>
          <w:sz w:val="30"/>
          <w:szCs w:val="30"/>
        </w:rPr>
      </w:pPr>
    </w:p>
    <w:p>
      <w:pPr>
        <w:spacing w:line="560" w:lineRule="exact"/>
        <w:jc w:val="left"/>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附件2：</w:t>
      </w:r>
    </w:p>
    <w:p>
      <w:pPr>
        <w:spacing w:line="560" w:lineRule="exact"/>
        <w:jc w:val="left"/>
        <w:rPr>
          <w:rFonts w:hint="default" w:ascii="Times New Roman" w:hAnsi="Times New Roman" w:eastAsia="方正小标宋_GBK" w:cs="Times New Roman"/>
          <w:bCs/>
          <w:sz w:val="44"/>
          <w:szCs w:val="44"/>
        </w:rPr>
      </w:pPr>
      <w:r>
        <w:rPr>
          <w:rFonts w:hint="default" w:ascii="Times New Roman" w:hAnsi="Times New Roman" w:eastAsia="仿宋_GB2312" w:cs="Times New Roman"/>
          <w:sz w:val="30"/>
          <w:szCs w:val="30"/>
        </w:rPr>
        <w:t xml:space="preserve">                     </w:t>
      </w:r>
      <w:r>
        <w:rPr>
          <w:rFonts w:hint="default" w:ascii="Times New Roman" w:hAnsi="Times New Roman" w:eastAsia="方正小标宋_GBK" w:cs="Times New Roman"/>
          <w:bCs/>
          <w:sz w:val="44"/>
          <w:szCs w:val="44"/>
        </w:rPr>
        <w:t>茹河全流域水质分段检测点位设置表</w:t>
      </w:r>
    </w:p>
    <w:tbl>
      <w:tblPr>
        <w:tblStyle w:val="7"/>
        <w:tblW w:w="13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10"/>
        <w:gridCol w:w="954"/>
        <w:gridCol w:w="1056"/>
        <w:gridCol w:w="1130"/>
        <w:gridCol w:w="1260"/>
        <w:gridCol w:w="1170"/>
        <w:gridCol w:w="1053"/>
        <w:gridCol w:w="1210"/>
        <w:gridCol w:w="1037"/>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blHeader/>
          <w:jc w:val="center"/>
        </w:trPr>
        <w:tc>
          <w:tcPr>
            <w:tcW w:w="817" w:type="dxa"/>
            <w:vAlign w:val="center"/>
          </w:tcPr>
          <w:p>
            <w:pPr>
              <w:tabs>
                <w:tab w:val="right" w:pos="1948"/>
              </w:tabs>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序号</w:t>
            </w:r>
          </w:p>
        </w:tc>
        <w:tc>
          <w:tcPr>
            <w:tcW w:w="2610" w:type="dxa"/>
            <w:vAlign w:val="center"/>
          </w:tcPr>
          <w:p>
            <w:pPr>
              <w:tabs>
                <w:tab w:val="right" w:pos="1948"/>
              </w:tabs>
              <w:snapToGrid w:val="0"/>
              <w:jc w:val="center"/>
              <w:rPr>
                <w:rFonts w:hint="default" w:ascii="Times New Roman" w:hAnsi="Times New Roman" w:eastAsia="仿宋_GB2312" w:cs="Times New Roman"/>
                <w:b/>
                <w:bCs/>
                <w:sz w:val="20"/>
                <w:szCs w:val="20"/>
              </w:rPr>
            </w:pPr>
          </w:p>
          <w:p>
            <w:pPr>
              <w:tabs>
                <w:tab w:val="right" w:pos="1948"/>
              </w:tabs>
              <w:snapToGrid w:val="0"/>
              <w:jc w:val="center"/>
              <w:rPr>
                <w:rFonts w:hint="default" w:ascii="Times New Roman" w:hAnsi="Times New Roman" w:eastAsia="仿宋_GB2312" w:cs="Times New Roman"/>
                <w:b/>
                <w:bCs/>
                <w:sz w:val="20"/>
                <w:szCs w:val="20"/>
              </w:rPr>
            </w:pPr>
          </w:p>
          <w:p>
            <w:pPr>
              <w:tabs>
                <w:tab w:val="right" w:pos="1948"/>
              </w:tabs>
              <w:snapToGrid w:val="0"/>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采样点位</w:t>
            </w:r>
          </w:p>
          <w:p>
            <w:pPr>
              <w:tabs>
                <w:tab w:val="right" w:pos="1948"/>
              </w:tabs>
              <w:snapToGrid w:val="0"/>
              <w:spacing w:line="200" w:lineRule="atLeast"/>
              <w:jc w:val="center"/>
              <w:rPr>
                <w:rFonts w:hint="default" w:ascii="Times New Roman" w:hAnsi="Times New Roman" w:eastAsia="仿宋_GB2312" w:cs="Times New Roman"/>
                <w:b/>
                <w:bCs/>
                <w:sz w:val="20"/>
                <w:szCs w:val="20"/>
              </w:rPr>
            </w:pPr>
          </w:p>
          <w:p>
            <w:pPr>
              <w:tabs>
                <w:tab w:val="right" w:pos="1948"/>
              </w:tabs>
              <w:snapToGrid w:val="0"/>
              <w:spacing w:line="200" w:lineRule="atLeast"/>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检测项目目目</w:t>
            </w:r>
          </w:p>
        </w:tc>
        <w:tc>
          <w:tcPr>
            <w:tcW w:w="954"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PH</w:t>
            </w:r>
          </w:p>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（无量纲）</w:t>
            </w:r>
          </w:p>
        </w:tc>
        <w:tc>
          <w:tcPr>
            <w:tcW w:w="1056"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溶解氧（mg/L）</w:t>
            </w:r>
          </w:p>
        </w:tc>
        <w:tc>
          <w:tcPr>
            <w:tcW w:w="1130"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氨氮</w:t>
            </w:r>
          </w:p>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（mg/L）</w:t>
            </w:r>
          </w:p>
        </w:tc>
        <w:tc>
          <w:tcPr>
            <w:tcW w:w="1260"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化学需氧量</w:t>
            </w:r>
          </w:p>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（mg/L）</w:t>
            </w:r>
          </w:p>
        </w:tc>
        <w:tc>
          <w:tcPr>
            <w:tcW w:w="1170"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五日生化需氧量（mg/L）</w:t>
            </w:r>
          </w:p>
        </w:tc>
        <w:tc>
          <w:tcPr>
            <w:tcW w:w="1053"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总磷</w:t>
            </w:r>
          </w:p>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（mg/L）</w:t>
            </w:r>
          </w:p>
        </w:tc>
        <w:tc>
          <w:tcPr>
            <w:tcW w:w="1210"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高锰酸盐指数（mg/L）</w:t>
            </w:r>
          </w:p>
        </w:tc>
        <w:tc>
          <w:tcPr>
            <w:tcW w:w="1037"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氟化物（mg/L）</w:t>
            </w:r>
          </w:p>
        </w:tc>
        <w:tc>
          <w:tcPr>
            <w:tcW w:w="795" w:type="dxa"/>
            <w:vAlign w:val="center"/>
          </w:tcPr>
          <w:p>
            <w:pPr>
              <w:snapToGrid w:val="0"/>
              <w:spacing w:line="200" w:lineRule="atLeast"/>
              <w:jc w:val="center"/>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店洼水库出口</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朝那桥下</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安定桥下</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广安桥下</w:t>
            </w:r>
          </w:p>
        </w:tc>
        <w:tc>
          <w:tcPr>
            <w:tcW w:w="954" w:type="dxa"/>
            <w:vAlign w:val="center"/>
          </w:tcPr>
          <w:p>
            <w:pPr>
              <w:tabs>
                <w:tab w:val="left" w:pos="265"/>
              </w:tabs>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tabs>
                <w:tab w:val="left" w:pos="265"/>
              </w:tabs>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tabs>
                <w:tab w:val="left" w:pos="265"/>
              </w:tabs>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金岛木栈桥下</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县医院门前桥下</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四号桥下</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李河桥下游</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9</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一号人工湿地</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二号人工湿地</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17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11</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三号人工湿地</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17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12</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四号人工湿地</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17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13</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吴川水库</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17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14</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城阳大桥下</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17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15</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沟圈断面</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170" w:type="dxa"/>
            <w:vAlign w:val="center"/>
          </w:tcPr>
          <w:p>
            <w:pPr>
              <w:snapToGrid w:val="0"/>
              <w:spacing w:line="240" w:lineRule="atLeast"/>
              <w:jc w:val="center"/>
              <w:rPr>
                <w:rFonts w:hint="default" w:ascii="Times New Roman" w:hAnsi="Times New Roman" w:eastAsia="仿宋_GB2312" w:cs="Times New Roman"/>
                <w:color w:val="FF0000"/>
                <w:sz w:val="20"/>
                <w:szCs w:val="20"/>
                <w:u w:val="single"/>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16</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西庄水库</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17" w:type="dxa"/>
            <w:vAlign w:val="center"/>
          </w:tcPr>
          <w:p>
            <w:pPr>
              <w:snapToGrid w:val="0"/>
              <w:spacing w:line="240" w:lineRule="atLeas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17</w:t>
            </w:r>
          </w:p>
        </w:tc>
        <w:tc>
          <w:tcPr>
            <w:tcW w:w="2610" w:type="dxa"/>
            <w:vAlign w:val="center"/>
          </w:tcPr>
          <w:p>
            <w:pPr>
              <w:snapToGrid w:val="0"/>
              <w:spacing w:line="240" w:lineRule="atLeas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县城生活污水处理厂</w:t>
            </w:r>
          </w:p>
        </w:tc>
        <w:tc>
          <w:tcPr>
            <w:tcW w:w="954"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6"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3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6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17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53"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210"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1037" w:type="dxa"/>
            <w:vAlign w:val="center"/>
          </w:tcPr>
          <w:p>
            <w:pPr>
              <w:snapToGrid w:val="0"/>
              <w:spacing w:line="240" w:lineRule="atLeast"/>
              <w:jc w:val="center"/>
              <w:rPr>
                <w:rFonts w:hint="default" w:ascii="Times New Roman" w:hAnsi="Times New Roman" w:eastAsia="仿宋_GB2312" w:cs="Times New Roman"/>
                <w:sz w:val="20"/>
                <w:szCs w:val="20"/>
              </w:rPr>
            </w:pPr>
          </w:p>
        </w:tc>
        <w:tc>
          <w:tcPr>
            <w:tcW w:w="795" w:type="dxa"/>
            <w:vAlign w:val="center"/>
          </w:tcPr>
          <w:p>
            <w:pPr>
              <w:snapToGrid w:val="0"/>
              <w:spacing w:line="240" w:lineRule="atLeast"/>
              <w:jc w:val="center"/>
              <w:rPr>
                <w:rFonts w:hint="default" w:ascii="Times New Roman" w:hAnsi="Times New Roman" w:eastAsia="仿宋_GB2312" w:cs="Times New Roman"/>
                <w:sz w:val="20"/>
                <w:szCs w:val="20"/>
              </w:rPr>
            </w:pPr>
          </w:p>
        </w:tc>
      </w:tr>
    </w:tbl>
    <w:p>
      <w:pPr>
        <w:keepNext w:val="0"/>
        <w:keepLines w:val="0"/>
        <w:pageBreakBefore w:val="0"/>
        <w:kinsoku/>
        <w:wordWrap/>
        <w:overflowPunct/>
        <w:topLinePunct w:val="0"/>
        <w:bidi w:val="0"/>
        <w:adjustRightInd/>
        <w:snapToGrid w:val="0"/>
        <w:spacing w:line="280" w:lineRule="exact"/>
        <w:outlineLvl w:val="9"/>
        <w:rPr>
          <w:rFonts w:hint="default" w:ascii="Times New Roman" w:hAnsi="Times New Roman" w:cs="Times New Roman"/>
        </w:rPr>
        <w:sectPr>
          <w:pgSz w:w="16838" w:h="11906" w:orient="landscape"/>
          <w:pgMar w:top="1417" w:right="1984" w:bottom="1587" w:left="2098" w:header="851" w:footer="992" w:gutter="0"/>
          <w:pgNumType w:fmt="numberInDash"/>
          <w:cols w:space="720" w:num="1"/>
          <w:docGrid w:type="linesAndChars" w:linePitch="442" w:charSpace="39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-381000</wp:posOffset>
              </wp:positionV>
              <wp:extent cx="893445" cy="3022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93445" cy="302260"/>
                      </a:xfrm>
                      <a:prstGeom prst="rect">
                        <a:avLst/>
                      </a:prstGeom>
                      <a:noFill/>
                      <a:ln w="9525">
                        <a:noFill/>
                      </a:ln>
                    </wps:spPr>
                    <wps:txbx>
                      <w:txbxContent>
                        <w:p>
                          <w:pPr>
                            <w:snapToGrid w:val="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p>
                          <w:pPr>
                            <w:pStyle w:val="4"/>
                            <w:jc w:val="center"/>
                            <w:rPr>
                              <w:rFonts w:hint="eastAsia" w:ascii="宋体" w:hAnsi="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top:-30pt;height:23.8pt;width:70.35pt;mso-position-horizontal:outside;mso-position-horizontal-relative:margin;z-index:251661312;mso-width-relative:page;mso-height-relative:page;" filled="f" stroked="f" coordsize="21600,21600" o:gfxdata="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YvlzNcAAAAIAQAA&#10;DwAAAAAAAAABACAAAAAiAAAAZHJzL2Rvd25yZXYueG1sUEsBAhQAFAAAAAgAh07iQJBPNbCoAQAA&#10;LAMAAA4AAAAAAAAAAQAgAAAAJgEAAGRycy9lMm9Eb2MueG1sUEsFBgAAAAAGAAYAWQEAAEAFAAAA&#10;AA==&#10;">
              <v:fill on="f" focussize="0,0"/>
              <v:stroke on="f"/>
              <v:imagedata o:title=""/>
              <o:lock v:ext="edit" aspectratio="f"/>
              <v:textbox inset="0mm,0mm,0mm,0mm">
                <w:txbxContent>
                  <w:p>
                    <w:pPr>
                      <w:snapToGrid w:val="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p>
                    <w:pPr>
                      <w:pStyle w:val="4"/>
                      <w:jc w:val="center"/>
                      <w:rPr>
                        <w:rFonts w:hint="eastAsia" w:ascii="宋体" w:hAnsi="宋体" w:cs="宋体"/>
                        <w:sz w:val="28"/>
                        <w:szCs w:val="28"/>
                        <w:lang w:eastAsia="zh-CN"/>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-116205</wp:posOffset>
              </wp:positionV>
              <wp:extent cx="1188085" cy="355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88085" cy="355600"/>
                      </a:xfrm>
                      <a:prstGeom prst="rect">
                        <a:avLst/>
                      </a:prstGeom>
                      <a:noFill/>
                      <a:ln w="9525">
                        <a:noFill/>
                      </a:ln>
                    </wps:spPr>
                    <wps:txbx>
                      <w:txbxContent>
                        <w:p>
                          <w:pPr>
                            <w:rPr>
                              <w:rFonts w:hint="eastAsia"/>
                            </w:rPr>
                          </w:pPr>
                        </w:p>
                      </w:txbxContent>
                    </wps:txbx>
                    <wps:bodyPr lIns="0" tIns="0" rIns="0" bIns="0" upright="0"/>
                  </wps:wsp>
                </a:graphicData>
              </a:graphic>
            </wp:anchor>
          </w:drawing>
        </mc:Choice>
        <mc:Fallback>
          <w:pict>
            <v:shape id="_x0000_s1026" o:spid="_x0000_s1026" o:spt="202" type="#_x0000_t202" style="position:absolute;left:0pt;margin-top:-9.15pt;height:28pt;width:93.55pt;mso-position-horizontal:outside;mso-position-horizontal-relative:margin;z-index:251660288;mso-width-relative:page;mso-height-relative:page;" filled="f" stroked="f" coordsize="21600,21600" o:gfxdata="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3Sn8fWAAAABwEAAA8A&#10;AAAAAAAAAQAgAAAAIgAAAGRycy9kb3ducmV2LnhtbFBLAQIUABQAAAAIAIdO4kAcx1i5pwEAAC0D&#10;AAAOAAAAAAAAAAEAIAAAACUBAABkcnMvZTJvRG9jLnhtbFBLBQYAAAAABgAGAFkBAAA+BQAAAAA=&#10;">
              <v:fill on="f" focussize="0,0"/>
              <v:stroke on="f"/>
              <v:imagedata o:title=""/>
              <o:lock v:ext="edit" aspectratio="f"/>
              <v:textbox inset="0mm,0mm,0mm,0mm">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C6EC1"/>
    <w:rsid w:val="621C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uiPriority w:val="0"/>
    <w:pPr>
      <w:ind w:firstLine="630"/>
    </w:pPr>
    <w:rPr>
      <w:rFonts w:eastAsia="仿宋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缩进）"/>
    <w:basedOn w:val="1"/>
    <w:uiPriority w:val="0"/>
    <w:pPr>
      <w:spacing w:line="360" w:lineRule="auto"/>
      <w:ind w:firstLine="480" w:firstLineChars="200"/>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2019-07-30T09:44:00Z</dcterms:created>
  <dc:creator>彭阳县城乡建设和环境保护局</dc:creator>
  <cp:lastModifiedBy>彭阳县城乡建设和环境保护局</cp:lastModifiedBy>
  <dcterms:modified xsi:type="dcterms:W3CDTF">2019-07-30T09:53:41Z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