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outlineLvl w:val="1"/>
        <w:rPr>
          <w:rFonts w:hint="default" w:ascii="Times New Roman" w:hAnsi="Times New Roman" w:eastAsia="方正小标宋简体" w:cs="Times New Roman"/>
          <w:b w:val="0"/>
          <w:bCs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0"/>
          <w:sz w:val="36"/>
          <w:szCs w:val="36"/>
          <w:highlight w:val="none"/>
          <w:lang w:eastAsia="zh-CN"/>
        </w:rPr>
        <w:t>彭阳县残疾人联合会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36"/>
          <w:szCs w:val="36"/>
          <w:highlight w:val="none"/>
        </w:rPr>
        <w:t>2019年部门预算——预算表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left"/>
        <w:textAlignment w:val="auto"/>
        <w:outlineLvl w:val="1"/>
        <w:rPr>
          <w:rFonts w:hint="default" w:ascii="Times New Roman" w:hAnsi="Times New Roman" w:eastAsia="仿宋_GB2312" w:cs="Times New Roman"/>
          <w:b/>
          <w:kern w:val="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textAlignment w:val="auto"/>
        <w:outlineLvl w:val="1"/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highlight w:val="none"/>
        </w:rPr>
        <w:t>一、财政拨款收支预算总表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outlineLvl w:val="1"/>
        <w:rPr>
          <w:rFonts w:hint="default" w:ascii="Times New Roman" w:hAnsi="Times New Roman" w:eastAsia="仿宋_GB2312" w:cs="Times New Roman"/>
          <w:b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b/>
          <w:kern w:val="0"/>
          <w:sz w:val="36"/>
          <w:szCs w:val="36"/>
          <w:highlight w:val="none"/>
        </w:rPr>
        <w:t>财政拨款收支预算总表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textAlignment w:val="auto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 xml:space="preserve">                                                                  单位：</w:t>
      </w:r>
      <w:r>
        <w:rPr>
          <w:rFonts w:hint="eastAsia" w:eastAsia="仿宋_GB2312" w:cs="Times New Roman"/>
          <w:kern w:val="0"/>
          <w:sz w:val="32"/>
          <w:szCs w:val="32"/>
          <w:highlight w:val="none"/>
          <w:lang w:eastAsia="zh-CN"/>
        </w:rPr>
        <w:t>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元</w:t>
      </w:r>
    </w:p>
    <w:tbl>
      <w:tblPr>
        <w:tblStyle w:val="5"/>
        <w:tblW w:w="13710" w:type="dxa"/>
        <w:tblInd w:w="-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1680"/>
        <w:gridCol w:w="3255"/>
        <w:gridCol w:w="1854"/>
        <w:gridCol w:w="1626"/>
        <w:gridCol w:w="15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4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收     入</w:t>
            </w:r>
          </w:p>
        </w:tc>
        <w:tc>
          <w:tcPr>
            <w:tcW w:w="825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8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项    目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预算数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项目（按功能分类）</w:t>
            </w:r>
          </w:p>
        </w:tc>
        <w:tc>
          <w:tcPr>
            <w:tcW w:w="4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78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小计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一般公共预算财政拨款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支出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政府性基金预算财政拨款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一、本年收入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643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79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一、本年支出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（一）一般公共预算财政拨款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收入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222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（一）一般公共服务支出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（二）政府性基金预算财政拨款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收入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421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27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（二）外交支出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（三）国防支出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（四）公共安全支出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（五）教育支出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（六）科学技术支出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（七）文化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旅游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体育与传媒支出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8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（八）社会保障和就业支出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214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69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214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69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（九）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卫生健康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支出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0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0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（十）节能环保支出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0.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19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0.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19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（十一）城乡社区支出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（十二）农林水支出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（十三）交通运输支出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（十四）资源勘探信息等支出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（十五）商业服务业等支出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7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（十六）金融支出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（十七）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自然资源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海洋气象等支出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（十八）住房保障支出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82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82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（十九）粮油物资储备支出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（二十）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灾害防治及应急管理支出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（二十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其他支出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421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27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421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8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二、上年结转结余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　二、年末结转结余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（一）一般公共预算财政拨款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（一）一般公共预算财政拨款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（二）政府性基金预算财政拨款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（二）政府性基金预算财政拨款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8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收入总计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643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79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250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支出总计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                  </w:t>
            </w:r>
            <w:r>
              <w:rPr>
                <w:rFonts w:hint="eastAsia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643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79      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222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52     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421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27</w:t>
            </w:r>
          </w:p>
        </w:tc>
      </w:tr>
    </w:tbl>
    <w:p>
      <w:pPr>
        <w:widowControl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outlineLvl w:val="1"/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highlight w:val="none"/>
          <w:lang w:eastAsia="zh-CN"/>
        </w:rPr>
      </w:pPr>
    </w:p>
    <w:p>
      <w:pPr>
        <w:widowControl/>
        <w:ind w:firstLine="640" w:firstLineChars="200"/>
        <w:outlineLvl w:val="1"/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highlight w:val="none"/>
        </w:rPr>
        <w:t>、一般公共预算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highlight w:val="none"/>
          <w:lang w:eastAsia="zh-CN"/>
        </w:rPr>
        <w:t>财政拨款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highlight w:val="none"/>
        </w:rPr>
        <w:t>支出表</w:t>
      </w:r>
    </w:p>
    <w:p>
      <w:pPr>
        <w:widowControl/>
        <w:ind w:firstLine="720" w:firstLineChars="200"/>
        <w:jc w:val="center"/>
        <w:outlineLvl w:val="1"/>
        <w:rPr>
          <w:rFonts w:hint="default" w:ascii="Times New Roman" w:hAnsi="Times New Roman" w:eastAsia="仿宋_GB2312" w:cs="Times New Roman"/>
          <w:b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b/>
          <w:kern w:val="0"/>
          <w:sz w:val="36"/>
          <w:szCs w:val="36"/>
          <w:highlight w:val="none"/>
        </w:rPr>
        <w:t>一般公共预算</w:t>
      </w:r>
      <w:r>
        <w:rPr>
          <w:rFonts w:hint="default" w:ascii="Times New Roman" w:hAnsi="Times New Roman" w:eastAsia="仿宋_GB2312" w:cs="Times New Roman"/>
          <w:b/>
          <w:kern w:val="0"/>
          <w:sz w:val="36"/>
          <w:szCs w:val="36"/>
          <w:highlight w:val="none"/>
          <w:lang w:eastAsia="zh-CN"/>
        </w:rPr>
        <w:t>财政拨款</w:t>
      </w:r>
      <w:r>
        <w:rPr>
          <w:rFonts w:hint="default" w:ascii="Times New Roman" w:hAnsi="Times New Roman" w:eastAsia="仿宋_GB2312" w:cs="Times New Roman"/>
          <w:b/>
          <w:kern w:val="0"/>
          <w:sz w:val="36"/>
          <w:szCs w:val="36"/>
          <w:highlight w:val="none"/>
        </w:rPr>
        <w:t>支出表</w:t>
      </w:r>
    </w:p>
    <w:p>
      <w:pPr>
        <w:widowControl/>
        <w:ind w:firstLine="735"/>
        <w:jc w:val="left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 xml:space="preserve">                                                                  单位：</w:t>
      </w:r>
      <w:r>
        <w:rPr>
          <w:rFonts w:hint="eastAsia" w:eastAsia="仿宋_GB2312" w:cs="Times New Roman"/>
          <w:kern w:val="0"/>
          <w:sz w:val="32"/>
          <w:szCs w:val="32"/>
          <w:highlight w:val="none"/>
          <w:lang w:eastAsia="zh-CN"/>
        </w:rPr>
        <w:t>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元</w:t>
      </w:r>
    </w:p>
    <w:tbl>
      <w:tblPr>
        <w:tblStyle w:val="5"/>
        <w:tblW w:w="143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166"/>
        <w:gridCol w:w="1425"/>
        <w:gridCol w:w="1365"/>
        <w:gridCol w:w="1470"/>
        <w:gridCol w:w="2220"/>
        <w:gridCol w:w="1230"/>
        <w:gridCol w:w="1410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功能分类科目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201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年预算安排总计</w:t>
            </w:r>
          </w:p>
        </w:tc>
        <w:tc>
          <w:tcPr>
            <w:tcW w:w="7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公共财政预算拨款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政府性基金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科目编码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科目名称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小计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县级经费拨款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纳入预算管理的行政性收费安排的拨款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中央专项转移支付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中央一般性转移支付</w:t>
            </w: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【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018002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】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彭阳县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残疾人联合会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643</w:t>
            </w:r>
            <w:r>
              <w:rPr>
                <w:rFonts w:hint="eastAsia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2081101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行政运行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53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53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53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2080504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未归口管理的行政单位离退休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2080505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机关事业单位基本养老保险保险缴费支出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080506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机关事业单位职业年金缴费支出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2081104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残疾人康复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2081105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残疾人就业和扶贫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2081199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其他残疾人事业支出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27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32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27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32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27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2082702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财政对工伤保险基金的补助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0.0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61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0.0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61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0.0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61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2082703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财政对生育保险基金的补助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0.0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0.0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0.0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2101101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行政单位医疗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2101103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公务员医疗补助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55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55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55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2210201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住房公积金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</w:p>
        </w:tc>
      </w:tr>
    </w:tbl>
    <w:p>
      <w:pPr>
        <w:widowControl/>
        <w:spacing w:line="520" w:lineRule="exact"/>
        <w:ind w:firstLine="640" w:firstLineChars="200"/>
        <w:outlineLvl w:val="1"/>
        <w:rPr>
          <w:rFonts w:hint="default" w:ascii="Times New Roman" w:hAnsi="Times New Roman" w:eastAsia="黑体" w:cs="Times New Roman"/>
          <w:b/>
          <w:kern w:val="0"/>
          <w:sz w:val="32"/>
          <w:szCs w:val="32"/>
          <w:highlight w:val="none"/>
          <w:lang w:eastAsia="zh-CN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highlight w:val="none"/>
          <w:lang w:eastAsia="zh-CN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highlight w:val="none"/>
          <w:lang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highlight w:val="none"/>
        </w:rPr>
        <w:t>、一般公共预算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highlight w:val="none"/>
          <w:lang w:eastAsia="zh-CN"/>
        </w:rPr>
        <w:t>财政拨款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highlight w:val="none"/>
        </w:rPr>
        <w:t>基本支出表</w:t>
      </w:r>
    </w:p>
    <w:p>
      <w:pPr>
        <w:widowControl/>
        <w:spacing w:line="520" w:lineRule="exact"/>
        <w:ind w:firstLine="720" w:firstLineChars="200"/>
        <w:jc w:val="center"/>
        <w:outlineLvl w:val="1"/>
        <w:rPr>
          <w:rFonts w:hint="default" w:ascii="Times New Roman" w:hAnsi="Times New Roman" w:eastAsia="仿宋_GB2312" w:cs="Times New Roman"/>
          <w:b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b/>
          <w:kern w:val="0"/>
          <w:sz w:val="36"/>
          <w:szCs w:val="36"/>
          <w:highlight w:val="none"/>
        </w:rPr>
        <w:t>一般公共预算</w:t>
      </w:r>
      <w:r>
        <w:rPr>
          <w:rFonts w:hint="default" w:ascii="Times New Roman" w:hAnsi="Times New Roman" w:eastAsia="仿宋_GB2312" w:cs="Times New Roman"/>
          <w:b/>
          <w:kern w:val="0"/>
          <w:sz w:val="36"/>
          <w:szCs w:val="36"/>
          <w:highlight w:val="none"/>
          <w:lang w:eastAsia="zh-CN"/>
        </w:rPr>
        <w:t>财政拨款</w:t>
      </w:r>
      <w:r>
        <w:rPr>
          <w:rFonts w:hint="default" w:ascii="Times New Roman" w:hAnsi="Times New Roman" w:eastAsia="仿宋_GB2312" w:cs="Times New Roman"/>
          <w:b/>
          <w:kern w:val="0"/>
          <w:sz w:val="36"/>
          <w:szCs w:val="36"/>
          <w:highlight w:val="none"/>
        </w:rPr>
        <w:t>基本支出表</w:t>
      </w:r>
    </w:p>
    <w:p>
      <w:pPr>
        <w:widowControl/>
        <w:spacing w:line="520" w:lineRule="exact"/>
        <w:ind w:firstLine="735"/>
        <w:jc w:val="left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 xml:space="preserve">                                                                  单位：</w:t>
      </w:r>
      <w:r>
        <w:rPr>
          <w:rFonts w:hint="eastAsia" w:eastAsia="仿宋_GB2312" w:cs="Times New Roman"/>
          <w:kern w:val="0"/>
          <w:sz w:val="32"/>
          <w:szCs w:val="32"/>
          <w:highlight w:val="none"/>
          <w:lang w:eastAsia="zh-CN"/>
        </w:rPr>
        <w:t>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元</w:t>
      </w:r>
    </w:p>
    <w:tbl>
      <w:tblPr>
        <w:tblStyle w:val="5"/>
        <w:tblpPr w:leftFromText="180" w:rightFromText="180" w:vertAnchor="text" w:tblpY="1"/>
        <w:tblOverlap w:val="never"/>
        <w:tblW w:w="135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经济科目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人员支出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72</w:t>
            </w:r>
            <w:r>
              <w:rPr>
                <w:rFonts w:hint="eastAsia" w:cs="Times New Roman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99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729949.31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16</w:t>
            </w:r>
            <w:r>
              <w:rPr>
                <w:rFonts w:hint="eastAsia" w:cs="Times New Roman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87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16</w:t>
            </w:r>
            <w:r>
              <w:rPr>
                <w:rFonts w:hint="eastAsia" w:cs="Times New Roman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87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cs="Times New Roman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cs="Times New Roman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cs="Times New Roman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cs="Times New Roman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cs="Times New Roman"/>
                <w:sz w:val="22"/>
                <w:szCs w:val="22"/>
                <w:highlight w:val="none"/>
                <w:lang w:val="en-US" w:eastAsia="zh-CN"/>
              </w:rPr>
              <w:t>.90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cs="Times New Roman"/>
                <w:sz w:val="22"/>
                <w:szCs w:val="22"/>
                <w:highlight w:val="none"/>
                <w:lang w:val="en-US" w:eastAsia="zh-CN"/>
              </w:rPr>
              <w:t>.90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12</w:t>
            </w:r>
            <w:r>
              <w:rPr>
                <w:rFonts w:hint="eastAsia" w:cs="Times New Roman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cs="Times New Roman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12</w:t>
            </w:r>
            <w:r>
              <w:rPr>
                <w:rFonts w:hint="eastAsia" w:cs="Times New Roman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cs="Times New Roman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82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82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88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hint="default" w:ascii="Times New Roman" w:hAnsi="Times New Roman" w:eastAsia="黑体" w:cs="Times New Roman"/>
          <w:b/>
          <w:kern w:val="0"/>
          <w:sz w:val="32"/>
          <w:szCs w:val="32"/>
          <w:highlight w:val="none"/>
          <w:lang w:eastAsia="zh-CN"/>
        </w:rPr>
      </w:pPr>
    </w:p>
    <w:p>
      <w:pPr>
        <w:widowControl/>
        <w:ind w:firstLine="640" w:firstLineChars="200"/>
        <w:outlineLvl w:val="1"/>
        <w:rPr>
          <w:rFonts w:hint="default" w:ascii="Times New Roman" w:hAnsi="Times New Roman" w:eastAsia="黑体" w:cs="Times New Roman"/>
          <w:b/>
          <w:kern w:val="0"/>
          <w:sz w:val="32"/>
          <w:szCs w:val="32"/>
          <w:highlight w:val="none"/>
          <w:lang w:eastAsia="zh-CN"/>
        </w:rPr>
      </w:pPr>
    </w:p>
    <w:p>
      <w:pPr>
        <w:widowControl/>
        <w:ind w:firstLine="640" w:firstLineChars="200"/>
        <w:outlineLvl w:val="1"/>
        <w:rPr>
          <w:rFonts w:hint="default" w:ascii="Times New Roman" w:hAnsi="Times New Roman" w:eastAsia="黑体" w:cs="Times New Roman"/>
          <w:b/>
          <w:kern w:val="0"/>
          <w:sz w:val="32"/>
          <w:szCs w:val="32"/>
          <w:highlight w:val="none"/>
          <w:lang w:eastAsia="zh-CN"/>
        </w:rPr>
      </w:pPr>
    </w:p>
    <w:p>
      <w:pPr>
        <w:widowControl/>
        <w:ind w:firstLine="640" w:firstLineChars="200"/>
        <w:outlineLvl w:val="1"/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highlight w:val="none"/>
          <w:lang w:eastAsia="zh-CN"/>
        </w:rPr>
        <w:t>四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highlight w:val="none"/>
        </w:rPr>
        <w:t>、一般公共预算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highlight w:val="none"/>
          <w:lang w:eastAsia="zh-CN"/>
        </w:rPr>
        <w:t>财政拨款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highlight w:val="none"/>
        </w:rPr>
        <w:t>“三公”经费支出表</w:t>
      </w:r>
    </w:p>
    <w:p>
      <w:pPr>
        <w:widowControl/>
        <w:ind w:firstLine="720" w:firstLineChars="200"/>
        <w:jc w:val="center"/>
        <w:outlineLvl w:val="1"/>
        <w:rPr>
          <w:rFonts w:hint="default" w:ascii="Times New Roman" w:hAnsi="Times New Roman" w:eastAsia="仿宋_GB2312" w:cs="Times New Roman"/>
          <w:b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b/>
          <w:kern w:val="0"/>
          <w:sz w:val="36"/>
          <w:szCs w:val="36"/>
          <w:highlight w:val="none"/>
        </w:rPr>
        <w:t>一般公共预算</w:t>
      </w:r>
      <w:r>
        <w:rPr>
          <w:rFonts w:hint="default" w:ascii="Times New Roman" w:hAnsi="Times New Roman" w:eastAsia="仿宋_GB2312" w:cs="Times New Roman"/>
          <w:b/>
          <w:kern w:val="0"/>
          <w:sz w:val="36"/>
          <w:szCs w:val="36"/>
          <w:highlight w:val="none"/>
          <w:lang w:eastAsia="zh-CN"/>
        </w:rPr>
        <w:t>财政拨款</w:t>
      </w:r>
      <w:r>
        <w:rPr>
          <w:rFonts w:hint="default" w:ascii="Times New Roman" w:hAnsi="Times New Roman" w:eastAsia="仿宋_GB2312" w:cs="Times New Roman"/>
          <w:b/>
          <w:kern w:val="0"/>
          <w:sz w:val="36"/>
          <w:szCs w:val="36"/>
          <w:highlight w:val="none"/>
        </w:rPr>
        <w:t>“三公”经费支出表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 xml:space="preserve">                                                                            单位：</w:t>
      </w:r>
      <w:r>
        <w:rPr>
          <w:rFonts w:hint="eastAsia" w:eastAsia="仿宋_GB2312" w:cs="Times New Roman"/>
          <w:kern w:val="0"/>
          <w:sz w:val="32"/>
          <w:szCs w:val="32"/>
          <w:highlight w:val="none"/>
          <w:lang w:eastAsia="zh-CN"/>
        </w:rPr>
        <w:t>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元</w:t>
      </w:r>
    </w:p>
    <w:tbl>
      <w:tblPr>
        <w:tblStyle w:val="5"/>
        <w:tblW w:w="1400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909"/>
        <w:gridCol w:w="633"/>
        <w:gridCol w:w="897"/>
        <w:gridCol w:w="510"/>
        <w:gridCol w:w="906"/>
        <w:gridCol w:w="8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</w:tc>
        <w:tc>
          <w:tcPr>
            <w:tcW w:w="47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2019年预算数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（控制数）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公务接待费</w:t>
            </w:r>
          </w:p>
        </w:tc>
        <w:tc>
          <w:tcPr>
            <w:tcW w:w="9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公务用车购置及运行费</w:t>
            </w:r>
          </w:p>
        </w:tc>
        <w:tc>
          <w:tcPr>
            <w:tcW w:w="8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小计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公务用车购置费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公务用车运行费</w:t>
            </w:r>
          </w:p>
        </w:tc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50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cs="Times New Roman"/>
                <w:kern w:val="0"/>
                <w:sz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</w:tr>
    </w:tbl>
    <w:p>
      <w:pPr>
        <w:widowControl/>
        <w:ind w:firstLine="627" w:firstLineChars="196"/>
        <w:outlineLvl w:val="1"/>
        <w:rPr>
          <w:rFonts w:hint="default" w:ascii="Times New Roman" w:hAnsi="Times New Roman" w:eastAsia="黑体" w:cs="Times New Roman"/>
          <w:b/>
          <w:kern w:val="0"/>
          <w:sz w:val="32"/>
          <w:szCs w:val="32"/>
          <w:highlight w:val="none"/>
          <w:lang w:eastAsia="zh-CN"/>
        </w:rPr>
      </w:pPr>
    </w:p>
    <w:p>
      <w:pPr>
        <w:widowControl/>
        <w:ind w:firstLine="627" w:firstLineChars="196"/>
        <w:outlineLvl w:val="1"/>
        <w:rPr>
          <w:rFonts w:hint="default" w:ascii="Times New Roman" w:hAnsi="Times New Roman" w:eastAsia="黑体" w:cs="Times New Roman"/>
          <w:b/>
          <w:kern w:val="0"/>
          <w:sz w:val="32"/>
          <w:szCs w:val="32"/>
          <w:highlight w:val="none"/>
          <w:lang w:eastAsia="zh-CN"/>
        </w:rPr>
      </w:pPr>
    </w:p>
    <w:p>
      <w:pPr>
        <w:widowControl/>
        <w:ind w:firstLine="627" w:firstLineChars="196"/>
        <w:outlineLvl w:val="1"/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highlight w:val="none"/>
          <w:lang w:eastAsia="zh-CN"/>
        </w:rPr>
      </w:pPr>
    </w:p>
    <w:p>
      <w:pPr>
        <w:widowControl/>
        <w:ind w:firstLine="627" w:firstLineChars="196"/>
        <w:outlineLvl w:val="1"/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highlight w:val="none"/>
          <w:lang w:eastAsia="zh-CN"/>
        </w:rPr>
      </w:pPr>
    </w:p>
    <w:p>
      <w:pPr>
        <w:widowControl/>
        <w:ind w:firstLine="627" w:firstLineChars="196"/>
        <w:outlineLvl w:val="1"/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highlight w:val="none"/>
          <w:lang w:eastAsia="zh-CN"/>
        </w:rPr>
        <w:t>五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highlight w:val="none"/>
        </w:rPr>
        <w:t>、政府性基金预算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highlight w:val="none"/>
          <w:lang w:eastAsia="zh-CN"/>
        </w:rPr>
        <w:t>财政拨款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highlight w:val="none"/>
        </w:rPr>
        <w:t>支出表</w:t>
      </w:r>
    </w:p>
    <w:p>
      <w:pPr>
        <w:widowControl/>
        <w:ind w:firstLine="720" w:firstLineChars="200"/>
        <w:jc w:val="center"/>
        <w:outlineLvl w:val="1"/>
        <w:rPr>
          <w:rFonts w:hint="default" w:ascii="Times New Roman" w:hAnsi="Times New Roman" w:eastAsia="仿宋_GB2312" w:cs="Times New Roman"/>
          <w:b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b/>
          <w:kern w:val="0"/>
          <w:sz w:val="36"/>
          <w:szCs w:val="36"/>
          <w:highlight w:val="none"/>
        </w:rPr>
        <w:t>政府性基金预算</w:t>
      </w:r>
      <w:r>
        <w:rPr>
          <w:rFonts w:hint="default" w:ascii="Times New Roman" w:hAnsi="Times New Roman" w:eastAsia="仿宋_GB2312" w:cs="Times New Roman"/>
          <w:b/>
          <w:kern w:val="0"/>
          <w:sz w:val="36"/>
          <w:szCs w:val="36"/>
          <w:highlight w:val="none"/>
          <w:lang w:eastAsia="zh-CN"/>
        </w:rPr>
        <w:t>财政拨款</w:t>
      </w:r>
      <w:r>
        <w:rPr>
          <w:rFonts w:hint="default" w:ascii="Times New Roman" w:hAnsi="Times New Roman" w:eastAsia="仿宋_GB2312" w:cs="Times New Roman"/>
          <w:b/>
          <w:kern w:val="0"/>
          <w:sz w:val="36"/>
          <w:szCs w:val="36"/>
          <w:highlight w:val="none"/>
        </w:rPr>
        <w:t>支出表</w:t>
      </w:r>
    </w:p>
    <w:p>
      <w:pPr>
        <w:widowControl/>
        <w:ind w:firstLine="720" w:firstLineChars="200"/>
        <w:jc w:val="center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kern w:val="0"/>
          <w:sz w:val="36"/>
          <w:szCs w:val="36"/>
          <w:highlight w:val="none"/>
        </w:rPr>
        <w:t xml:space="preserve">                              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单位：</w:t>
      </w:r>
      <w:r>
        <w:rPr>
          <w:rFonts w:hint="eastAsia" w:eastAsia="仿宋_GB2312" w:cs="Times New Roman"/>
          <w:kern w:val="0"/>
          <w:sz w:val="32"/>
          <w:szCs w:val="32"/>
          <w:highlight w:val="none"/>
          <w:lang w:eastAsia="zh-CN"/>
        </w:rPr>
        <w:t>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元</w:t>
      </w:r>
    </w:p>
    <w:tbl>
      <w:tblPr>
        <w:tblStyle w:val="5"/>
        <w:tblW w:w="14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3060"/>
        <w:gridCol w:w="960"/>
        <w:gridCol w:w="1050"/>
        <w:gridCol w:w="1080"/>
        <w:gridCol w:w="1170"/>
        <w:gridCol w:w="1610"/>
        <w:gridCol w:w="1435"/>
        <w:gridCol w:w="1401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功能分类科目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3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2019年预算数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2019年预算数与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科目编码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科目名称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基本支出</w:t>
            </w:r>
          </w:p>
        </w:tc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项目支出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0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小计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人员经费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  <w:t>日常公用经费</w:t>
            </w:r>
          </w:p>
        </w:tc>
        <w:tc>
          <w:tcPr>
            <w:tcW w:w="1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0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2081101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行政运行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43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08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55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55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93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55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93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0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99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3.69%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2080504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未归口管理的行政单位离退休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2080505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机关事业单位基本养老保险保险缴费支出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6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3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6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3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6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3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0.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25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4.12%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080506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机关事业单位职业年金缴费支出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0.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4.12%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2081104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残疾人康复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21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21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92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21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92</w:t>
            </w:r>
          </w:p>
        </w:tc>
        <w:tc>
          <w:tcPr>
            <w:tcW w:w="14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14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92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213.14%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2081105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残疾人就业和扶贫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-3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  <w:t>-100%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2081199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eastAsia="zh-CN"/>
              </w:rPr>
              <w:t>其他残疾人事业支出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27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32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101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101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101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73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269.71%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2082702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财政对工伤保险基金的补助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0.0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61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0.0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61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0.0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61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0.0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61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0.00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4.12%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2082703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财政对生育保险基金的补助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0.092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25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177.66%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2101101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行政单位医疗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4.12%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2101103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公务员医疗补助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55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46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-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0.0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-5.97%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2210201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  <w:t>住房公积金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82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82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82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0.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right"/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4.12%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640" w:firstLineChars="200"/>
        <w:outlineLvl w:val="1"/>
        <w:rPr>
          <w:rFonts w:hint="default" w:ascii="Times New Roman" w:hAnsi="Times New Roman" w:eastAsia="黑体" w:cs="Times New Roman"/>
          <w:b/>
          <w:kern w:val="0"/>
          <w:sz w:val="32"/>
          <w:szCs w:val="32"/>
          <w:highlight w:val="none"/>
          <w:lang w:eastAsia="zh-CN"/>
        </w:rPr>
      </w:pPr>
    </w:p>
    <w:p>
      <w:pPr>
        <w:widowControl/>
        <w:ind w:firstLine="640" w:firstLineChars="200"/>
        <w:outlineLvl w:val="1"/>
        <w:rPr>
          <w:rFonts w:hint="default" w:ascii="Times New Roman" w:hAnsi="Times New Roman" w:eastAsia="黑体" w:cs="Times New Roman"/>
          <w:b/>
          <w:kern w:val="0"/>
          <w:sz w:val="32"/>
          <w:szCs w:val="32"/>
          <w:highlight w:val="none"/>
          <w:lang w:eastAsia="zh-CN"/>
        </w:rPr>
      </w:pPr>
    </w:p>
    <w:p>
      <w:pPr>
        <w:widowControl/>
        <w:ind w:firstLine="640" w:firstLineChars="200"/>
        <w:outlineLvl w:val="1"/>
        <w:rPr>
          <w:rFonts w:hint="default" w:ascii="Times New Roman" w:hAnsi="Times New Roman" w:eastAsia="黑体" w:cs="Times New Roman"/>
          <w:b/>
          <w:kern w:val="0"/>
          <w:sz w:val="32"/>
          <w:szCs w:val="32"/>
          <w:highlight w:val="none"/>
          <w:lang w:eastAsia="zh-CN"/>
        </w:rPr>
      </w:pPr>
    </w:p>
    <w:p>
      <w:pPr>
        <w:widowControl/>
        <w:ind w:firstLine="640" w:firstLineChars="200"/>
        <w:outlineLvl w:val="1"/>
        <w:rPr>
          <w:rFonts w:hint="default" w:ascii="Times New Roman" w:hAnsi="Times New Roman" w:eastAsia="黑体" w:cs="Times New Roman"/>
          <w:b/>
          <w:kern w:val="0"/>
          <w:sz w:val="32"/>
          <w:szCs w:val="32"/>
          <w:highlight w:val="none"/>
          <w:lang w:eastAsia="zh-CN"/>
        </w:rPr>
      </w:pPr>
    </w:p>
    <w:p>
      <w:pPr>
        <w:widowControl/>
        <w:ind w:firstLine="640" w:firstLineChars="200"/>
        <w:outlineLvl w:val="1"/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highlight w:val="none"/>
          <w:lang w:eastAsia="zh-CN"/>
        </w:rPr>
        <w:t>六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highlight w:val="none"/>
        </w:rPr>
        <w:t>、部门收支预算总表</w:t>
      </w:r>
    </w:p>
    <w:p>
      <w:pPr>
        <w:widowControl/>
        <w:jc w:val="center"/>
        <w:outlineLvl w:val="1"/>
        <w:rPr>
          <w:rFonts w:hint="default" w:ascii="Times New Roman" w:hAnsi="Times New Roman" w:eastAsia="仿宋_GB2312" w:cs="Times New Roman"/>
          <w:b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b/>
          <w:kern w:val="0"/>
          <w:sz w:val="36"/>
          <w:szCs w:val="36"/>
          <w:highlight w:val="none"/>
        </w:rPr>
        <w:t>部门收支预算总表</w:t>
      </w:r>
    </w:p>
    <w:p>
      <w:pPr>
        <w:widowControl/>
        <w:jc w:val="right"/>
        <w:outlineLvl w:val="1"/>
        <w:rPr>
          <w:rFonts w:hint="default" w:ascii="Times New Roman" w:hAnsi="Times New Roman" w:eastAsia="仿宋_GB2312" w:cs="Times New Roman"/>
          <w:b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 xml:space="preserve">     单位：</w:t>
      </w:r>
      <w:r>
        <w:rPr>
          <w:rFonts w:hint="eastAsia" w:eastAsia="仿宋_GB2312" w:cs="Times New Roman"/>
          <w:kern w:val="0"/>
          <w:sz w:val="32"/>
          <w:szCs w:val="32"/>
          <w:highlight w:val="none"/>
          <w:lang w:eastAsia="zh-CN"/>
        </w:rPr>
        <w:t>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元</w:t>
      </w:r>
    </w:p>
    <w:tbl>
      <w:tblPr>
        <w:tblStyle w:val="5"/>
        <w:tblW w:w="1385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收     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支     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highlight w:val="none"/>
              </w:rPr>
              <w:t>预算数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643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79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222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222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52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222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421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27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      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421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643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79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643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（2）财政拨款结余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（3）非财政拨款结转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（4）非财政拨款结余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（5）专用结余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（6）经营结余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643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79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643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79</w:t>
            </w:r>
          </w:p>
        </w:tc>
      </w:tr>
    </w:tbl>
    <w:p>
      <w:pPr>
        <w:widowControl/>
        <w:ind w:firstLine="735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  <w:lang w:eastAsia="zh-CN"/>
        </w:rPr>
      </w:pPr>
    </w:p>
    <w:p>
      <w:pPr>
        <w:widowControl/>
        <w:ind w:firstLine="735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  <w:lang w:eastAsia="zh-CN"/>
        </w:rPr>
      </w:pPr>
    </w:p>
    <w:p>
      <w:pPr>
        <w:widowControl/>
        <w:ind w:firstLine="735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  <w:lang w:eastAsia="zh-CN"/>
        </w:rPr>
      </w:pPr>
    </w:p>
    <w:p>
      <w:pPr>
        <w:widowControl/>
        <w:ind w:firstLine="735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  <w:lang w:eastAsia="zh-CN"/>
        </w:rPr>
      </w:pPr>
    </w:p>
    <w:p>
      <w:pPr>
        <w:widowControl/>
        <w:ind w:firstLine="735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七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</w:rPr>
        <w:t>、部门收入总表</w:t>
      </w:r>
    </w:p>
    <w:p>
      <w:pPr>
        <w:widowControl/>
        <w:jc w:val="center"/>
        <w:outlineLvl w:val="1"/>
        <w:rPr>
          <w:rFonts w:hint="default" w:ascii="Times New Roman" w:hAnsi="Times New Roman" w:eastAsia="仿宋_GB2312" w:cs="Times New Roman"/>
          <w:b/>
          <w:bCs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6"/>
          <w:szCs w:val="36"/>
          <w:highlight w:val="none"/>
        </w:rPr>
        <w:t>部门收入总表</w:t>
      </w:r>
    </w:p>
    <w:p>
      <w:pPr>
        <w:widowControl/>
        <w:jc w:val="left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 xml:space="preserve">                                                                     单位：</w:t>
      </w:r>
      <w:r>
        <w:rPr>
          <w:rFonts w:hint="eastAsia" w:eastAsia="仿宋_GB2312" w:cs="Times New Roman"/>
          <w:kern w:val="0"/>
          <w:sz w:val="32"/>
          <w:szCs w:val="32"/>
          <w:highlight w:val="none"/>
          <w:lang w:eastAsia="zh-CN"/>
        </w:rPr>
        <w:t>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元</w:t>
      </w:r>
    </w:p>
    <w:tbl>
      <w:tblPr>
        <w:tblStyle w:val="5"/>
        <w:tblW w:w="1389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5"/>
        <w:gridCol w:w="839"/>
        <w:gridCol w:w="839"/>
        <w:gridCol w:w="839"/>
        <w:gridCol w:w="839"/>
        <w:gridCol w:w="860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本年收入合计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财政拨款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预算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收入</w:t>
            </w: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事业预算收入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非同级财政拨款预算收入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投资预算收益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其他预算收入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小计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一般公共预算财政拨款收入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政府性基金预算财政拨款收入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小计</w:t>
            </w:r>
          </w:p>
        </w:tc>
        <w:tc>
          <w:tcPr>
            <w:tcW w:w="8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其中：</w:t>
            </w:r>
          </w:p>
        </w:tc>
        <w:tc>
          <w:tcPr>
            <w:tcW w:w="8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本级横向财政拨款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非同级财政拨款（科研及辅助活动）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纳入财政专户管理的非税收入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643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643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222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421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highlight w:val="none"/>
              </w:rPr>
            </w:pPr>
          </w:p>
        </w:tc>
      </w:tr>
    </w:tbl>
    <w:p>
      <w:pPr>
        <w:widowControl/>
        <w:ind w:firstLine="627" w:firstLineChars="196"/>
        <w:jc w:val="left"/>
        <w:outlineLvl w:val="1"/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  <w:highlight w:val="none"/>
          <w:lang w:eastAsia="zh-CN"/>
        </w:rPr>
      </w:pPr>
    </w:p>
    <w:p>
      <w:pPr>
        <w:widowControl/>
        <w:ind w:firstLine="627" w:firstLineChars="196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  <w:lang w:eastAsia="zh-CN"/>
        </w:rPr>
      </w:pPr>
    </w:p>
    <w:p>
      <w:pPr>
        <w:widowControl/>
        <w:ind w:firstLine="627" w:firstLineChars="196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  <w:lang w:eastAsia="zh-CN"/>
        </w:rPr>
      </w:pPr>
    </w:p>
    <w:p>
      <w:pPr>
        <w:widowControl/>
        <w:ind w:firstLine="627" w:firstLineChars="196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八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</w:rPr>
        <w:t>、部门支出总表</w:t>
      </w:r>
    </w:p>
    <w:p>
      <w:pPr>
        <w:widowControl/>
        <w:jc w:val="center"/>
        <w:outlineLvl w:val="1"/>
        <w:rPr>
          <w:rFonts w:hint="default" w:ascii="Times New Roman" w:hAnsi="Times New Roman" w:eastAsia="仿宋_GB2312" w:cs="Times New Roman"/>
          <w:b/>
          <w:bCs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6"/>
          <w:szCs w:val="36"/>
          <w:highlight w:val="none"/>
        </w:rPr>
        <w:t>部门支出总表</w:t>
      </w:r>
    </w:p>
    <w:p>
      <w:pPr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 xml:space="preserve">                                                                      单位：</w:t>
      </w:r>
      <w:r>
        <w:rPr>
          <w:rFonts w:hint="eastAsia" w:eastAsia="仿宋_GB2312" w:cs="Times New Roman"/>
          <w:kern w:val="0"/>
          <w:sz w:val="32"/>
          <w:szCs w:val="32"/>
          <w:highlight w:val="none"/>
          <w:lang w:eastAsia="zh-CN"/>
        </w:rPr>
        <w:t>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元</w:t>
      </w:r>
    </w:p>
    <w:tbl>
      <w:tblPr>
        <w:tblStyle w:val="5"/>
        <w:tblW w:w="1383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95"/>
        <w:gridCol w:w="1317"/>
        <w:gridCol w:w="1317"/>
        <w:gridCol w:w="1317"/>
        <w:gridCol w:w="1316"/>
        <w:gridCol w:w="1316"/>
        <w:gridCol w:w="1316"/>
        <w:gridCol w:w="1316"/>
        <w:gridCol w:w="1316"/>
        <w:gridCol w:w="130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科目编码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本年支出合计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行政支出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事业支出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经营支出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上缴上级支出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对附属单位补助支出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投资支出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债务还本支出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其他支出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bookmarkStart w:id="0" w:name="_GoBack" w:colFirst="7" w:colLast="7"/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【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018002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】彭阳县残疾人联合会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643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643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bookmarkEnd w:id="0"/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2080505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2080506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2081101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55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93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55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93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2081104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21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92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21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92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2081105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26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26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2081199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101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0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101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0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2082702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0.0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0.0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2082703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0.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0.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2101101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2101103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2210201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82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82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2296006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421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421</w:t>
            </w: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cs="Times New Roman"/>
          <w:highlight w:val="none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76ECE"/>
    <w:rsid w:val="02106F6A"/>
    <w:rsid w:val="03F03B15"/>
    <w:rsid w:val="040903A7"/>
    <w:rsid w:val="0A782957"/>
    <w:rsid w:val="146B6F2F"/>
    <w:rsid w:val="1722319A"/>
    <w:rsid w:val="1F3F33C4"/>
    <w:rsid w:val="27373C9A"/>
    <w:rsid w:val="2A95173A"/>
    <w:rsid w:val="2C767663"/>
    <w:rsid w:val="365E1067"/>
    <w:rsid w:val="386F62CE"/>
    <w:rsid w:val="40C45B51"/>
    <w:rsid w:val="43A25B26"/>
    <w:rsid w:val="4AC61B82"/>
    <w:rsid w:val="63176ECE"/>
    <w:rsid w:val="64271DF0"/>
    <w:rsid w:val="69A71681"/>
    <w:rsid w:val="6E7C4673"/>
    <w:rsid w:val="6E8F627C"/>
    <w:rsid w:val="71E33288"/>
    <w:rsid w:val="73BB6205"/>
    <w:rsid w:val="77DC1F28"/>
    <w:rsid w:val="7C89629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2019-01-30T03:08:00Z</dcterms:created>
  <dc:creator>Administrator</dc:creator>
  <cp:lastModifiedBy>彭阳县残联</cp:lastModifiedBy>
  <cp:lastPrinted>2019-02-12T01:57:00Z</cp:lastPrinted>
  <dcterms:modified xsi:type="dcterms:W3CDTF">2019-02-22T07:52:07Z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