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彭阳县地上附着物和青苗补偿标准</w:t>
      </w: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Times New Roman" w:hAnsi="Times New Roman" w:eastAsia="仿宋_GB2312" w:cs="Times New Roman"/>
          <w:sz w:val="32"/>
          <w:szCs w:val="32"/>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ascii="微软雅黑" w:hAnsi="微软雅黑" w:eastAsia="微软雅黑" w:cs="微软雅黑"/>
          <w:i w:val="0"/>
          <w:caps w:val="0"/>
          <w:color w:val="000000"/>
          <w:spacing w:val="0"/>
          <w:sz w:val="31"/>
          <w:szCs w:val="31"/>
        </w:rPr>
      </w:pPr>
      <w:r>
        <w:rPr>
          <w:rFonts w:hint="default" w:ascii="Times New Roman" w:hAnsi="Times New Roman" w:eastAsia="微软雅黑" w:cs="Times New Roman"/>
          <w:i w:val="0"/>
          <w:caps w:val="0"/>
          <w:color w:val="000000"/>
          <w:spacing w:val="0"/>
          <w:sz w:val="31"/>
          <w:szCs w:val="31"/>
          <w:shd w:val="clear" w:fill="FFFFFF"/>
        </w:rPr>
        <w:t>2021</w:t>
      </w:r>
      <w:r>
        <w:rPr>
          <w:rFonts w:ascii="仿宋_GB2312" w:hAnsi="Times New Roman" w:eastAsia="仿宋_GB2312" w:cs="仿宋_GB2312"/>
          <w:i w:val="0"/>
          <w:caps w:val="0"/>
          <w:color w:val="000000"/>
          <w:spacing w:val="0"/>
          <w:sz w:val="31"/>
          <w:szCs w:val="31"/>
          <w:shd w:val="clear" w:fill="FFFFFF"/>
        </w:rPr>
        <w:t>年</w:t>
      </w:r>
      <w:r>
        <w:rPr>
          <w:rFonts w:hint="eastAsia" w:ascii="Times New Roman" w:hAnsi="Times New Roman" w:eastAsia="微软雅黑" w:cs="Times New Roman"/>
          <w:i w:val="0"/>
          <w:caps w:val="0"/>
          <w:color w:val="000000"/>
          <w:spacing w:val="0"/>
          <w:sz w:val="31"/>
          <w:szCs w:val="31"/>
          <w:shd w:val="clear" w:fill="FFFFFF"/>
          <w:lang w:val="en-US" w:eastAsia="zh-CN"/>
        </w:rPr>
        <w:t>12</w:t>
      </w:r>
      <w:r>
        <w:rPr>
          <w:rFonts w:hint="eastAsia" w:ascii="仿宋_GB2312" w:hAnsi="Times New Roman" w:eastAsia="仿宋_GB2312" w:cs="仿宋_GB2312"/>
          <w:i w:val="0"/>
          <w:caps w:val="0"/>
          <w:color w:val="000000"/>
          <w:spacing w:val="0"/>
          <w:sz w:val="31"/>
          <w:szCs w:val="31"/>
          <w:shd w:val="clear" w:fill="FFFFFF"/>
        </w:rPr>
        <w:t>月，</w:t>
      </w:r>
      <w:r>
        <w:rPr>
          <w:rFonts w:hint="eastAsia" w:ascii="仿宋_GB2312" w:hAnsi="Times New Roman" w:eastAsia="仿宋_GB2312" w:cs="仿宋_GB2312"/>
          <w:i w:val="0"/>
          <w:caps w:val="0"/>
          <w:color w:val="000000"/>
          <w:spacing w:val="0"/>
          <w:sz w:val="31"/>
          <w:szCs w:val="31"/>
          <w:shd w:val="clear" w:fill="FFFFFF"/>
          <w:lang w:eastAsia="zh-CN"/>
        </w:rPr>
        <w:t>彭阳县</w:t>
      </w:r>
      <w:r>
        <w:rPr>
          <w:rFonts w:hint="eastAsia" w:ascii="仿宋_GB2312" w:hAnsi="Times New Roman" w:eastAsia="仿宋_GB2312" w:cs="仿宋_GB2312"/>
          <w:i w:val="0"/>
          <w:caps w:val="0"/>
          <w:color w:val="000000"/>
          <w:spacing w:val="0"/>
          <w:sz w:val="31"/>
          <w:szCs w:val="31"/>
          <w:shd w:val="clear" w:fill="FFFFFF"/>
        </w:rPr>
        <w:t>人民政府</w:t>
      </w:r>
      <w:r>
        <w:rPr>
          <w:rFonts w:hint="eastAsia" w:ascii="仿宋_GB2312" w:hAnsi="Times New Roman" w:eastAsia="仿宋_GB2312" w:cs="仿宋_GB2312"/>
          <w:i w:val="0"/>
          <w:caps w:val="0"/>
          <w:color w:val="000000"/>
          <w:spacing w:val="0"/>
          <w:sz w:val="31"/>
          <w:szCs w:val="31"/>
          <w:shd w:val="clear" w:fill="FFFFFF"/>
          <w:lang w:eastAsia="zh-CN"/>
        </w:rPr>
        <w:t>制定起草</w:t>
      </w:r>
      <w:r>
        <w:rPr>
          <w:rFonts w:hint="eastAsia" w:ascii="仿宋_GB2312" w:hAnsi="Times New Roman" w:eastAsia="仿宋_GB2312" w:cs="仿宋_GB2312"/>
          <w:i w:val="0"/>
          <w:caps w:val="0"/>
          <w:color w:val="000000"/>
          <w:spacing w:val="0"/>
          <w:sz w:val="31"/>
          <w:szCs w:val="31"/>
          <w:shd w:val="clear" w:fill="FFFFFF"/>
        </w:rPr>
        <w:t>了《</w:t>
      </w:r>
      <w:r>
        <w:rPr>
          <w:rFonts w:hint="eastAsia" w:ascii="仿宋_GB2312" w:hAnsi="Times New Roman" w:eastAsia="仿宋_GB2312" w:cs="仿宋_GB2312"/>
          <w:i w:val="0"/>
          <w:caps w:val="0"/>
          <w:color w:val="000000"/>
          <w:spacing w:val="0"/>
          <w:sz w:val="31"/>
          <w:szCs w:val="31"/>
          <w:shd w:val="clear" w:fill="FFFFFF"/>
          <w:lang w:eastAsia="zh-CN"/>
        </w:rPr>
        <w:t>彭阳县地上附着物和青苗补偿标准工作报告</w:t>
      </w:r>
      <w:r>
        <w:rPr>
          <w:rFonts w:hint="eastAsia" w:ascii="仿宋_GB2312" w:hAnsi="Times New Roman" w:eastAsia="仿宋_GB2312" w:cs="仿宋_GB2312"/>
          <w:i w:val="0"/>
          <w:caps w:val="0"/>
          <w:color w:val="000000"/>
          <w:spacing w:val="0"/>
          <w:sz w:val="31"/>
          <w:szCs w:val="31"/>
          <w:shd w:val="clear" w:fill="FFFFFF"/>
        </w:rPr>
        <w:t>》，现就有关制定情况作如下说明：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caps w:val="0"/>
          <w:color w:val="000000"/>
          <w:spacing w:val="0"/>
          <w:sz w:val="31"/>
          <w:szCs w:val="31"/>
        </w:rPr>
      </w:pPr>
      <w:r>
        <w:rPr>
          <w:rFonts w:ascii="黑体" w:hAnsi="宋体" w:eastAsia="黑体" w:cs="黑体"/>
          <w:i w:val="0"/>
          <w:caps w:val="0"/>
          <w:color w:val="000000"/>
          <w:spacing w:val="0"/>
          <w:sz w:val="31"/>
          <w:szCs w:val="31"/>
          <w:shd w:val="clear" w:fill="FFFFFF"/>
        </w:rPr>
        <w:t>一、起草的背景和意图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仿宋_GB2312" w:cs="微软雅黑"/>
          <w:i w:val="0"/>
          <w:caps w:val="0"/>
          <w:color w:val="000000"/>
          <w:spacing w:val="0"/>
          <w:sz w:val="31"/>
          <w:szCs w:val="31"/>
          <w:lang w:val="en-US" w:eastAsia="zh-CN"/>
        </w:rPr>
      </w:pPr>
      <w:r>
        <w:rPr>
          <w:rFonts w:hint="default" w:ascii="Times New Roman" w:hAnsi="Times New Roman" w:eastAsia="微软雅黑" w:cs="Times New Roman"/>
          <w:i w:val="0"/>
          <w:caps w:val="0"/>
          <w:color w:val="000000"/>
          <w:spacing w:val="0"/>
          <w:sz w:val="31"/>
          <w:szCs w:val="31"/>
          <w:shd w:val="clear" w:fill="FFFFFF"/>
        </w:rPr>
        <w:t>202</w:t>
      </w:r>
      <w:r>
        <w:rPr>
          <w:rFonts w:hint="eastAsia" w:ascii="Times New Roman" w:hAnsi="Times New Roman" w:eastAsia="微软雅黑" w:cs="Times New Roman"/>
          <w:i w:val="0"/>
          <w:caps w:val="0"/>
          <w:color w:val="000000"/>
          <w:spacing w:val="0"/>
          <w:sz w:val="31"/>
          <w:szCs w:val="31"/>
          <w:shd w:val="clear" w:fill="FFFFFF"/>
          <w:lang w:val="en-US" w:eastAsia="zh-CN"/>
        </w:rPr>
        <w:t>1</w:t>
      </w:r>
      <w:r>
        <w:rPr>
          <w:rFonts w:hint="eastAsia" w:ascii="仿宋_GB2312" w:hAnsi="Times New Roman" w:eastAsia="仿宋_GB2312" w:cs="仿宋_GB2312"/>
          <w:i w:val="0"/>
          <w:caps w:val="0"/>
          <w:color w:val="000000"/>
          <w:spacing w:val="0"/>
          <w:sz w:val="31"/>
          <w:szCs w:val="31"/>
          <w:shd w:val="clear" w:fill="FFFFFF"/>
        </w:rPr>
        <w:t>年</w:t>
      </w:r>
      <w:r>
        <w:rPr>
          <w:rFonts w:hint="eastAsia" w:ascii="Times New Roman" w:hAnsi="Times New Roman" w:eastAsia="微软雅黑" w:cs="Times New Roman"/>
          <w:i w:val="0"/>
          <w:caps w:val="0"/>
          <w:color w:val="000000"/>
          <w:spacing w:val="0"/>
          <w:sz w:val="31"/>
          <w:szCs w:val="31"/>
          <w:shd w:val="clear" w:fill="FFFFFF"/>
          <w:lang w:val="en-US" w:eastAsia="zh-CN"/>
        </w:rPr>
        <w:t>9</w:t>
      </w:r>
      <w:r>
        <w:rPr>
          <w:rFonts w:hint="eastAsia" w:ascii="仿宋_GB2312" w:hAnsi="Times New Roman" w:eastAsia="仿宋_GB2312" w:cs="仿宋_GB2312"/>
          <w:i w:val="0"/>
          <w:caps w:val="0"/>
          <w:color w:val="000000"/>
          <w:spacing w:val="0"/>
          <w:sz w:val="31"/>
          <w:szCs w:val="31"/>
          <w:shd w:val="clear" w:fill="FFFFFF"/>
        </w:rPr>
        <w:t>月</w:t>
      </w:r>
      <w:r>
        <w:rPr>
          <w:rFonts w:hint="eastAsia" w:ascii="Times New Roman" w:hAnsi="Times New Roman" w:eastAsia="微软雅黑" w:cs="Times New Roman"/>
          <w:i w:val="0"/>
          <w:caps w:val="0"/>
          <w:color w:val="000000"/>
          <w:spacing w:val="0"/>
          <w:sz w:val="31"/>
          <w:szCs w:val="31"/>
          <w:shd w:val="clear" w:fill="FFFFFF"/>
          <w:lang w:val="en-US" w:eastAsia="zh-CN"/>
        </w:rPr>
        <w:t>26</w:t>
      </w:r>
      <w:r>
        <w:rPr>
          <w:rFonts w:hint="eastAsia" w:ascii="仿宋_GB2312" w:hAnsi="Times New Roman" w:eastAsia="仿宋_GB2312" w:cs="仿宋_GB2312"/>
          <w:i w:val="0"/>
          <w:caps w:val="0"/>
          <w:color w:val="000000"/>
          <w:spacing w:val="0"/>
          <w:sz w:val="31"/>
          <w:szCs w:val="31"/>
          <w:shd w:val="clear" w:fill="FFFFFF"/>
        </w:rPr>
        <w:t>日，宁夏回族自治区人民政府</w:t>
      </w:r>
      <w:r>
        <w:rPr>
          <w:rFonts w:hint="eastAsia" w:ascii="仿宋_GB2312" w:hAnsi="Times New Roman" w:eastAsia="仿宋_GB2312" w:cs="仿宋_GB2312"/>
          <w:i w:val="0"/>
          <w:caps w:val="0"/>
          <w:color w:val="000000"/>
          <w:spacing w:val="0"/>
          <w:sz w:val="31"/>
          <w:szCs w:val="31"/>
          <w:shd w:val="clear" w:fill="FFFFFF"/>
          <w:lang w:eastAsia="zh-CN"/>
        </w:rPr>
        <w:t>下发</w:t>
      </w:r>
      <w:r>
        <w:rPr>
          <w:rFonts w:hint="eastAsia" w:ascii="仿宋_GB2312" w:hAnsi="Times New Roman" w:eastAsia="仿宋_GB2312" w:cs="仿宋_GB2312"/>
          <w:i w:val="0"/>
          <w:caps w:val="0"/>
          <w:color w:val="000000"/>
          <w:spacing w:val="0"/>
          <w:sz w:val="31"/>
          <w:szCs w:val="31"/>
          <w:shd w:val="clear" w:fill="FFFFFF"/>
        </w:rPr>
        <w:t>了《自治区人民政府</w:t>
      </w:r>
      <w:r>
        <w:rPr>
          <w:rFonts w:hint="eastAsia" w:ascii="仿宋_GB2312" w:hAnsi="Times New Roman" w:eastAsia="仿宋_GB2312" w:cs="仿宋_GB2312"/>
          <w:i w:val="0"/>
          <w:caps w:val="0"/>
          <w:color w:val="000000"/>
          <w:spacing w:val="0"/>
          <w:sz w:val="31"/>
          <w:szCs w:val="31"/>
          <w:shd w:val="clear" w:fill="FFFFFF"/>
          <w:lang w:eastAsia="zh-CN"/>
        </w:rPr>
        <w:t>办公厅关于制定公布全区地上附着物和青苗补偿标准的通知</w:t>
      </w:r>
      <w:r>
        <w:rPr>
          <w:rFonts w:hint="eastAsia" w:ascii="仿宋_GB2312" w:hAnsi="Times New Roman" w:eastAsia="仿宋_GB2312" w:cs="仿宋_GB2312"/>
          <w:i w:val="0"/>
          <w:caps w:val="0"/>
          <w:color w:val="000000"/>
          <w:spacing w:val="0"/>
          <w:sz w:val="31"/>
          <w:szCs w:val="31"/>
          <w:shd w:val="clear" w:fill="FFFFFF"/>
        </w:rPr>
        <w:t>》，</w:t>
      </w:r>
      <w:r>
        <w:rPr>
          <w:rFonts w:hint="eastAsia" w:ascii="仿宋_GB2312" w:hAnsi="Times New Roman" w:eastAsia="仿宋_GB2312" w:cs="仿宋_GB2312"/>
          <w:i w:val="0"/>
          <w:caps w:val="0"/>
          <w:color w:val="000000"/>
          <w:spacing w:val="0"/>
          <w:sz w:val="31"/>
          <w:szCs w:val="31"/>
          <w:shd w:val="clear" w:fill="FFFFFF"/>
          <w:lang w:eastAsia="zh-CN"/>
        </w:rPr>
        <w:t>按照《中华人民共和国土地管理法》《中华人民共和国土地管理法实施条例》有关规定。制定公布地上附着物和青苗补偿标准是依法保障被征地农民合法权益、维护社会和谐稳定、促进全区经济社会持续健康发展的重要举措</w:t>
      </w:r>
      <w:r>
        <w:rPr>
          <w:rFonts w:hint="eastAsia" w:ascii="仿宋_GB2312" w:hAnsi="Times New Roman" w:eastAsia="仿宋_GB2312" w:cs="仿宋_GB2312"/>
          <w:i w:val="0"/>
          <w:caps w:val="0"/>
          <w:color w:val="000000"/>
          <w:spacing w:val="0"/>
          <w:sz w:val="31"/>
          <w:szCs w:val="31"/>
          <w:shd w:val="clear" w:fill="FFFFFF"/>
        </w:rPr>
        <w:t>。</w:t>
      </w:r>
      <w:r>
        <w:rPr>
          <w:rFonts w:hint="eastAsia" w:ascii="仿宋_GB2312" w:hAnsi="Times New Roman" w:eastAsia="仿宋_GB2312" w:cs="仿宋_GB2312"/>
          <w:i w:val="0"/>
          <w:caps w:val="0"/>
          <w:color w:val="000000"/>
          <w:spacing w:val="0"/>
          <w:sz w:val="31"/>
          <w:szCs w:val="31"/>
          <w:shd w:val="clear" w:fill="FFFFFF"/>
          <w:lang w:eastAsia="zh-CN"/>
        </w:rPr>
        <w:t>要求各市、县（区）人民政府和自治区有关部门要高度重视，加强组织领导，制定工作方案，筹措工作经费，抓紧启动制定工作，确保按时公布实施。明确自然资源、住房和城乡建设、林业和草原、民政、农业农村等部门工作职责，按照实事求是、查漏补缺、公平合理、类型一致原则，组织公众参与、论证和听证、风险评估及合法性审查，结合各地区经济社会发展水平和实际情况，科学合理拟定补偿标准，报经自治区人民政府同意后，由各地级市人民政府公布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caps w:val="0"/>
          <w:color w:val="000000"/>
          <w:spacing w:val="0"/>
          <w:sz w:val="31"/>
          <w:szCs w:val="31"/>
        </w:rPr>
      </w:pPr>
      <w:r>
        <w:rPr>
          <w:rFonts w:hint="eastAsia" w:ascii="黑体" w:hAnsi="宋体" w:eastAsia="黑体" w:cs="黑体"/>
          <w:i w:val="0"/>
          <w:caps w:val="0"/>
          <w:color w:val="000000"/>
          <w:spacing w:val="0"/>
          <w:sz w:val="31"/>
          <w:szCs w:val="31"/>
          <w:shd w:val="clear" w:fill="FFFFFF"/>
        </w:rPr>
        <w:t>二、起草过程和征求意见情况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caps w:val="0"/>
          <w:color w:val="000000"/>
          <w:spacing w:val="0"/>
          <w:sz w:val="31"/>
          <w:szCs w:val="31"/>
        </w:rPr>
      </w:pPr>
      <w:r>
        <w:rPr>
          <w:rFonts w:hint="eastAsia" w:ascii="仿宋_GB2312" w:hAnsi="Times New Roman" w:eastAsia="仿宋_GB2312" w:cs="仿宋_GB2312"/>
          <w:i w:val="0"/>
          <w:caps w:val="0"/>
          <w:color w:val="000000"/>
          <w:spacing w:val="0"/>
          <w:sz w:val="31"/>
          <w:szCs w:val="31"/>
          <w:shd w:val="clear" w:fill="FFFFFF"/>
          <w:lang w:eastAsia="zh-CN"/>
        </w:rPr>
        <w:t>彭阳县</w:t>
      </w:r>
      <w:r>
        <w:rPr>
          <w:rFonts w:hint="eastAsia" w:ascii="仿宋_GB2312" w:hAnsi="Times New Roman" w:eastAsia="仿宋_GB2312" w:cs="仿宋_GB2312"/>
          <w:i w:val="0"/>
          <w:caps w:val="0"/>
          <w:color w:val="000000"/>
          <w:spacing w:val="0"/>
          <w:sz w:val="31"/>
          <w:szCs w:val="31"/>
          <w:shd w:val="clear" w:fill="FFFFFF"/>
        </w:rPr>
        <w:t>自然资源局依据《自治区人民政府</w:t>
      </w:r>
      <w:r>
        <w:rPr>
          <w:rFonts w:hint="eastAsia" w:ascii="仿宋_GB2312" w:hAnsi="Times New Roman" w:eastAsia="仿宋_GB2312" w:cs="仿宋_GB2312"/>
          <w:i w:val="0"/>
          <w:caps w:val="0"/>
          <w:color w:val="000000"/>
          <w:spacing w:val="0"/>
          <w:sz w:val="31"/>
          <w:szCs w:val="31"/>
          <w:shd w:val="clear" w:fill="FFFFFF"/>
          <w:lang w:eastAsia="zh-CN"/>
        </w:rPr>
        <w:t>办公厅关于制定公布全区地上附着物和青苗补偿标准的通知</w:t>
      </w:r>
      <w:r>
        <w:rPr>
          <w:rFonts w:hint="eastAsia" w:ascii="仿宋_GB2312" w:hAnsi="Times New Roman" w:eastAsia="仿宋_GB2312" w:cs="仿宋_GB2312"/>
          <w:i w:val="0"/>
          <w:caps w:val="0"/>
          <w:color w:val="000000"/>
          <w:spacing w:val="0"/>
          <w:sz w:val="31"/>
          <w:szCs w:val="31"/>
          <w:shd w:val="clear" w:fill="FFFFFF"/>
        </w:rPr>
        <w:t>》文件，初拟了《</w:t>
      </w:r>
      <w:r>
        <w:rPr>
          <w:rFonts w:hint="eastAsia" w:ascii="仿宋_GB2312" w:hAnsi="Times New Roman" w:eastAsia="仿宋_GB2312" w:cs="仿宋_GB2312"/>
          <w:i w:val="0"/>
          <w:caps w:val="0"/>
          <w:color w:val="000000"/>
          <w:spacing w:val="0"/>
          <w:sz w:val="31"/>
          <w:szCs w:val="31"/>
          <w:shd w:val="clear" w:fill="FFFFFF"/>
          <w:lang w:eastAsia="zh-CN"/>
        </w:rPr>
        <w:t>彭阳县地上附着物和青苗补偿标准工作报告</w:t>
      </w:r>
      <w:r>
        <w:rPr>
          <w:rFonts w:hint="eastAsia" w:ascii="仿宋_GB2312" w:hAnsi="Times New Roman" w:eastAsia="仿宋_GB2312" w:cs="仿宋_GB2312"/>
          <w:i w:val="0"/>
          <w:caps w:val="0"/>
          <w:color w:val="000000"/>
          <w:spacing w:val="0"/>
          <w:sz w:val="31"/>
          <w:szCs w:val="31"/>
          <w:shd w:val="clear" w:fill="FFFFFF"/>
        </w:rPr>
        <w:t>》，及时征</w:t>
      </w:r>
      <w:r>
        <w:rPr>
          <w:rFonts w:hint="eastAsia" w:ascii="仿宋_GB2312" w:hAnsi="Times New Roman" w:eastAsia="仿宋_GB2312" w:cs="仿宋_GB2312"/>
          <w:i w:val="0"/>
          <w:caps w:val="0"/>
          <w:color w:val="000000"/>
          <w:spacing w:val="0"/>
          <w:sz w:val="31"/>
          <w:szCs w:val="31"/>
          <w:shd w:val="clear" w:fill="FFFFFF"/>
          <w:lang w:eastAsia="zh-CN"/>
        </w:rPr>
        <w:t>求各乡（镇）、县直各部门（单位）</w:t>
      </w:r>
      <w:r>
        <w:rPr>
          <w:rFonts w:hint="eastAsia" w:ascii="仿宋_GB2312" w:hAnsi="Times New Roman" w:eastAsia="仿宋_GB2312" w:cs="仿宋_GB2312"/>
          <w:i w:val="0"/>
          <w:caps w:val="0"/>
          <w:color w:val="000000"/>
          <w:spacing w:val="0"/>
          <w:sz w:val="31"/>
          <w:szCs w:val="31"/>
          <w:shd w:val="clear" w:fill="FFFFFF"/>
        </w:rPr>
        <w:t>的意见后，并经</w:t>
      </w:r>
      <w:r>
        <w:rPr>
          <w:rFonts w:hint="eastAsia" w:ascii="仿宋_GB2312" w:hAnsi="Times New Roman" w:eastAsia="仿宋_GB2312" w:cs="仿宋_GB2312"/>
          <w:i w:val="0"/>
          <w:caps w:val="0"/>
          <w:color w:val="000000"/>
          <w:spacing w:val="0"/>
          <w:sz w:val="31"/>
          <w:szCs w:val="31"/>
          <w:shd w:val="clear" w:fill="FFFFFF"/>
          <w:lang w:eastAsia="zh-CN"/>
        </w:rPr>
        <w:t>县</w:t>
      </w:r>
      <w:r>
        <w:rPr>
          <w:rFonts w:hint="eastAsia" w:ascii="仿宋_GB2312" w:hAnsi="Times New Roman" w:eastAsia="仿宋_GB2312" w:cs="仿宋_GB2312"/>
          <w:i w:val="0"/>
          <w:caps w:val="0"/>
          <w:color w:val="000000"/>
          <w:spacing w:val="0"/>
          <w:sz w:val="31"/>
          <w:szCs w:val="31"/>
          <w:shd w:val="clear" w:fill="FFFFFF"/>
        </w:rPr>
        <w:t>司法局进行合法性审查符合法律规定。</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caps w:val="0"/>
          <w:color w:val="000000"/>
          <w:spacing w:val="0"/>
          <w:sz w:val="31"/>
          <w:szCs w:val="31"/>
        </w:rPr>
      </w:pPr>
      <w:r>
        <w:rPr>
          <w:rFonts w:hint="eastAsia" w:ascii="黑体" w:hAnsi="宋体" w:eastAsia="黑体" w:cs="黑体"/>
          <w:i w:val="0"/>
          <w:caps w:val="0"/>
          <w:color w:val="000000"/>
          <w:spacing w:val="0"/>
          <w:sz w:val="31"/>
          <w:szCs w:val="31"/>
          <w:shd w:val="clear" w:fill="FFFFFF"/>
        </w:rPr>
        <w:t>三、审议情况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仿宋_GB2312" w:cs="微软雅黑"/>
          <w:i w:val="0"/>
          <w:caps w:val="0"/>
          <w:color w:val="000000"/>
          <w:spacing w:val="0"/>
          <w:sz w:val="31"/>
          <w:szCs w:val="31"/>
          <w:lang w:eastAsia="zh-CN"/>
        </w:rPr>
      </w:pPr>
      <w:r>
        <w:rPr>
          <w:rFonts w:hint="default" w:ascii="Times New Roman" w:hAnsi="Times New Roman" w:eastAsia="微软雅黑" w:cs="Times New Roman"/>
          <w:i w:val="0"/>
          <w:caps w:val="0"/>
          <w:color w:val="000000"/>
          <w:spacing w:val="0"/>
          <w:sz w:val="31"/>
          <w:szCs w:val="31"/>
          <w:shd w:val="clear" w:fill="FFFFFF"/>
        </w:rPr>
        <w:t>2021</w:t>
      </w:r>
      <w:r>
        <w:rPr>
          <w:rFonts w:hint="eastAsia" w:ascii="仿宋_GB2312" w:hAnsi="Times New Roman" w:eastAsia="仿宋_GB2312" w:cs="仿宋_GB2312"/>
          <w:i w:val="0"/>
          <w:caps w:val="0"/>
          <w:color w:val="000000"/>
          <w:spacing w:val="0"/>
          <w:sz w:val="31"/>
          <w:szCs w:val="31"/>
          <w:shd w:val="clear" w:fill="FFFFFF"/>
        </w:rPr>
        <w:t>年</w:t>
      </w:r>
      <w:r>
        <w:rPr>
          <w:rFonts w:hint="eastAsia" w:ascii="Times New Roman" w:hAnsi="Times New Roman" w:eastAsia="微软雅黑" w:cs="Times New Roman"/>
          <w:i w:val="0"/>
          <w:caps w:val="0"/>
          <w:color w:val="000000"/>
          <w:spacing w:val="0"/>
          <w:sz w:val="31"/>
          <w:szCs w:val="31"/>
          <w:shd w:val="clear" w:fill="FFFFFF"/>
          <w:lang w:val="en-US" w:eastAsia="zh-CN"/>
        </w:rPr>
        <w:t>12</w:t>
      </w:r>
      <w:r>
        <w:rPr>
          <w:rFonts w:hint="eastAsia" w:ascii="仿宋_GB2312" w:hAnsi="Times New Roman" w:eastAsia="仿宋_GB2312" w:cs="仿宋_GB2312"/>
          <w:i w:val="0"/>
          <w:caps w:val="0"/>
          <w:color w:val="000000"/>
          <w:spacing w:val="0"/>
          <w:sz w:val="31"/>
          <w:szCs w:val="31"/>
          <w:shd w:val="clear" w:fill="FFFFFF"/>
        </w:rPr>
        <w:t>月</w:t>
      </w:r>
      <w:r>
        <w:rPr>
          <w:rFonts w:hint="eastAsia" w:ascii="Times New Roman" w:hAnsi="Times New Roman" w:eastAsia="微软雅黑" w:cs="Times New Roman"/>
          <w:i w:val="0"/>
          <w:caps w:val="0"/>
          <w:color w:val="000000"/>
          <w:spacing w:val="0"/>
          <w:sz w:val="31"/>
          <w:szCs w:val="31"/>
          <w:shd w:val="clear" w:fill="FFFFFF"/>
          <w:lang w:val="en-US" w:eastAsia="zh-CN"/>
        </w:rPr>
        <w:t>8</w:t>
      </w:r>
      <w:r>
        <w:rPr>
          <w:rFonts w:hint="eastAsia" w:ascii="仿宋_GB2312" w:hAnsi="Times New Roman" w:eastAsia="仿宋_GB2312" w:cs="仿宋_GB2312"/>
          <w:i w:val="0"/>
          <w:caps w:val="0"/>
          <w:color w:val="000000"/>
          <w:spacing w:val="0"/>
          <w:sz w:val="31"/>
          <w:szCs w:val="31"/>
          <w:shd w:val="clear" w:fill="FFFFFF"/>
        </w:rPr>
        <w:t>日，</w:t>
      </w:r>
      <w:r>
        <w:rPr>
          <w:rFonts w:hint="eastAsia" w:ascii="仿宋_GB2312" w:hAnsi="Times New Roman" w:eastAsia="仿宋_GB2312" w:cs="仿宋_GB2312"/>
          <w:i w:val="0"/>
          <w:caps w:val="0"/>
          <w:color w:val="000000"/>
          <w:spacing w:val="0"/>
          <w:sz w:val="31"/>
          <w:szCs w:val="31"/>
          <w:shd w:val="clear" w:fill="FFFFFF"/>
          <w:lang w:eastAsia="zh-CN"/>
        </w:rPr>
        <w:t>经县政府主要领导及分管领导</w:t>
      </w:r>
      <w:r>
        <w:rPr>
          <w:rFonts w:hint="eastAsia" w:ascii="仿宋_GB2312" w:hAnsi="Times New Roman" w:eastAsia="仿宋_GB2312" w:cs="仿宋_GB2312"/>
          <w:i w:val="0"/>
          <w:caps w:val="0"/>
          <w:color w:val="000000"/>
          <w:spacing w:val="0"/>
          <w:sz w:val="31"/>
          <w:szCs w:val="31"/>
          <w:shd w:val="clear" w:fill="FFFFFF"/>
        </w:rPr>
        <w:t>审议通过了《</w:t>
      </w:r>
      <w:r>
        <w:rPr>
          <w:rFonts w:hint="eastAsia" w:ascii="仿宋_GB2312" w:hAnsi="Times New Roman" w:eastAsia="仿宋_GB2312" w:cs="仿宋_GB2312"/>
          <w:i w:val="0"/>
          <w:caps w:val="0"/>
          <w:color w:val="000000"/>
          <w:spacing w:val="0"/>
          <w:sz w:val="31"/>
          <w:szCs w:val="31"/>
          <w:shd w:val="clear" w:fill="FFFFFF"/>
          <w:lang w:eastAsia="zh-CN"/>
        </w:rPr>
        <w:t>彭阳县地上附着物和青苗补偿标准工作报告</w:t>
      </w:r>
      <w:r>
        <w:rPr>
          <w:rFonts w:hint="eastAsia" w:ascii="仿宋_GB2312" w:hAnsi="Times New Roman" w:eastAsia="仿宋_GB2312" w:cs="仿宋_GB2312"/>
          <w:i w:val="0"/>
          <w:caps w:val="0"/>
          <w:color w:val="000000"/>
          <w:spacing w:val="0"/>
          <w:sz w:val="31"/>
          <w:szCs w:val="31"/>
          <w:shd w:val="clear" w:fill="FFFFFF"/>
        </w:rPr>
        <w:t>》</w:t>
      </w:r>
      <w:r>
        <w:rPr>
          <w:rFonts w:hint="eastAsia" w:ascii="仿宋_GB2312" w:hAnsi="Times New Roman" w:eastAsia="仿宋_GB2312" w:cs="仿宋_GB2312"/>
          <w:i w:val="0"/>
          <w:caps w:val="0"/>
          <w:color w:val="000000"/>
          <w:spacing w:val="0"/>
          <w:sz w:val="31"/>
          <w:szCs w:val="31"/>
          <w:shd w:val="clear" w:fill="FFFFFF"/>
          <w:lang w:eastAsia="zh-CN"/>
        </w:rPr>
        <w:t>，报固原市人民政府进行审核并进行全市范围平衡。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caps w:val="0"/>
          <w:color w:val="000000"/>
          <w:spacing w:val="0"/>
          <w:sz w:val="31"/>
          <w:szCs w:val="31"/>
        </w:rPr>
      </w:pPr>
      <w:r>
        <w:rPr>
          <w:rFonts w:hint="eastAsia" w:ascii="黑体" w:hAnsi="宋体" w:eastAsia="黑体" w:cs="黑体"/>
          <w:i w:val="0"/>
          <w:caps w:val="0"/>
          <w:color w:val="000000"/>
          <w:spacing w:val="0"/>
          <w:sz w:val="31"/>
          <w:szCs w:val="31"/>
          <w:shd w:val="clear" w:fill="FFFFFF"/>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0"/>
          <w:w w:val="100"/>
          <w:kern w:val="2"/>
          <w:position w:val="0"/>
          <w:sz w:val="24"/>
          <w:szCs w:val="24"/>
          <w:highlight w:val="none"/>
          <w:lang w:val="en-US" w:eastAsia="zh-CN" w:bidi="ar-SA"/>
        </w:rPr>
      </w:pPr>
      <w:r>
        <w:rPr>
          <w:rFonts w:hint="eastAsia" w:ascii="宋体" w:hAnsi="宋体" w:eastAsia="宋体" w:cs="宋体"/>
          <w:b/>
          <w:bCs/>
          <w:i w:val="0"/>
          <w:iCs w:val="0"/>
          <w:color w:val="auto"/>
          <w:spacing w:val="0"/>
          <w:w w:val="100"/>
          <w:kern w:val="0"/>
          <w:position w:val="0"/>
          <w:sz w:val="24"/>
          <w:szCs w:val="24"/>
          <w:highlight w:val="none"/>
          <w:u w:val="none"/>
          <w:lang w:val="en-US" w:eastAsia="zh-CN" w:bidi="ar"/>
        </w:rPr>
        <w:t xml:space="preserve"> 彭阳县地上建（构）筑物及其他附属设施补偿标准</w:t>
      </w:r>
    </w:p>
    <w:tbl>
      <w:tblPr>
        <w:tblStyle w:val="11"/>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6"/>
        <w:gridCol w:w="1011"/>
        <w:gridCol w:w="993"/>
        <w:gridCol w:w="762"/>
        <w:gridCol w:w="1140"/>
        <w:gridCol w:w="2669"/>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6" w:hRule="atLeast"/>
          <w:jc w:val="center"/>
        </w:trPr>
        <w:tc>
          <w:tcPr>
            <w:tcW w:w="596"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1011"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名称</w:t>
            </w: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类型</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规格</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补偿标准（元)</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房屋标准</w:t>
            </w:r>
          </w:p>
        </w:tc>
        <w:tc>
          <w:tcPr>
            <w:tcW w:w="2294"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596"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11"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楼房</w:t>
            </w: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框架结构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2450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层高3米，室内精装修、外墙贴瓷砖；已安装塑钢窗，防盗门，瓷砖地面，具备水、电、暖设施。</w:t>
            </w:r>
          </w:p>
        </w:tc>
        <w:tc>
          <w:tcPr>
            <w:tcW w:w="2294"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一、增加项</w:t>
            </w:r>
            <w:r>
              <w:rPr>
                <w:rFonts w:hint="eastAsia" w:ascii="宋体" w:hAnsi="宋体" w:eastAsia="宋体" w:cs="宋体"/>
                <w:i w:val="0"/>
                <w:iCs w:val="0"/>
                <w:color w:val="auto"/>
                <w:kern w:val="0"/>
                <w:sz w:val="18"/>
                <w:szCs w:val="18"/>
                <w:highlight w:val="none"/>
                <w:u w:val="none"/>
                <w:lang w:val="en-US" w:eastAsia="zh-CN" w:bidi="ar"/>
              </w:rPr>
              <w:t xml:space="preserve">                              1、框架结构(包括墙、装修等)层高每提高10公分，造价增加15元/m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2、37墙增加50元/m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3、现浇屋面增加120元/m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xml:space="preserve">；                                               </w:t>
            </w:r>
            <w:r>
              <w:rPr>
                <w:rFonts w:hint="eastAsia" w:ascii="宋体" w:hAnsi="宋体" w:eastAsia="宋体" w:cs="宋体"/>
                <w:b/>
                <w:bCs/>
                <w:i w:val="0"/>
                <w:iCs w:val="0"/>
                <w:color w:val="auto"/>
                <w:kern w:val="0"/>
                <w:sz w:val="18"/>
                <w:szCs w:val="18"/>
                <w:highlight w:val="none"/>
                <w:u w:val="none"/>
                <w:lang w:val="en-US" w:eastAsia="zh-CN" w:bidi="ar"/>
              </w:rPr>
              <w:t>二、减少项</w:t>
            </w:r>
            <w:r>
              <w:rPr>
                <w:rFonts w:hint="eastAsia" w:ascii="宋体" w:hAnsi="宋体" w:eastAsia="宋体" w:cs="宋体"/>
                <w:i w:val="0"/>
                <w:iCs w:val="0"/>
                <w:color w:val="auto"/>
                <w:kern w:val="0"/>
                <w:sz w:val="18"/>
                <w:szCs w:val="18"/>
                <w:highlight w:val="none"/>
                <w:u w:val="none"/>
                <w:lang w:val="en-US" w:eastAsia="zh-CN" w:bidi="ar"/>
              </w:rPr>
              <w:t xml:space="preserve">                         1、砖混结构房屋每降低10cm，减少10元/m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2、屋面不符合标准，减少100元/m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3、室内无地板砖减少40元/m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4、内墙白灰浆面，减少20元/m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5、外前墙为清水墙，减少10元/m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 xml:space="preserve">；                                                                                                    </w:t>
            </w:r>
            <w:r>
              <w:rPr>
                <w:rFonts w:hint="eastAsia" w:ascii="宋体" w:hAnsi="宋体" w:eastAsia="宋体" w:cs="宋体"/>
                <w:b/>
                <w:bCs/>
                <w:i w:val="0"/>
                <w:iCs w:val="0"/>
                <w:color w:val="auto"/>
                <w:kern w:val="0"/>
                <w:sz w:val="18"/>
                <w:szCs w:val="18"/>
                <w:highlight w:val="none"/>
                <w:u w:val="none"/>
                <w:lang w:val="en-US" w:eastAsia="zh-CN" w:bidi="ar"/>
              </w:rPr>
              <w:t>三、其中有一项不符合房屋标准减少20元/m</w:t>
            </w:r>
            <w:r>
              <w:rPr>
                <w:rStyle w:val="12"/>
                <w:rFonts w:hint="eastAsia" w:ascii="宋体" w:hAnsi="宋体" w:eastAsia="宋体" w:cs="宋体"/>
                <w:color w:val="auto"/>
                <w:sz w:val="18"/>
                <w:szCs w:val="18"/>
                <w:highlight w:val="none"/>
                <w:lang w:val="en-US" w:eastAsia="zh-CN" w:bidi="ar"/>
              </w:rPr>
              <w:t>2</w:t>
            </w:r>
            <w:r>
              <w:rPr>
                <w:rFonts w:hint="eastAsia" w:ascii="宋体" w:hAnsi="宋体" w:eastAsia="宋体" w:cs="宋体"/>
                <w:b/>
                <w:bCs/>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93"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砖混结构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2280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层高3米，室内精装修、外墙贴瓷砖；已安装塑钢窗，防盗门，瓷砖地面，具备水、电、暖设施。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596"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011"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平房（主房）</w:t>
            </w: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框架结构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2300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层高3米，室内普通装修，外墙贴瓷砖；安装铝合金窗，防盗门，具备水、电、暖设施。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砖混结构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层高3米，室内普通装修，外墙贴瓷砖；安装铝合金窗，防盗门，具备水、电、暖设施。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砖木结构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1880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层高3米，室内普通装修，外墙贴瓷砖；安装铝合金窗，防盗门，具备水、电、暖设施。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土木</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层高3米，室内普通装修，外墙贴瓷砖；安装铝合金窗，防盗门，具备水、电、暖设施。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596"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011"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附（杂）房</w:t>
            </w: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砖混结构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层高2.6米，能住人或做杂房使用，有门窗，砖铺地面或水泥地面，有供电设施。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砖木结构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960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层高2.5米，能住人或做杂房使用，有门窗，砖铺地面或水泥地面，有供电设施。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土木结构</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层高2.5米，能住人或做杂房使用，有门窗，砖铺地面或水泥地面，有供电设施。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棚房</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678</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层高2.8米，能住人或做杂房使用，有门窗，砖铺地面或水泥地面，有供电设施。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596"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011"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窑</w:t>
            </w: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砖箍窑（含水泥浇筑）</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前口高3米以上，有门窗，有窑肩，能住人或做杂房使用，有供电设施。</w:t>
            </w:r>
          </w:p>
        </w:tc>
        <w:tc>
          <w:tcPr>
            <w:tcW w:w="2294"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口高3米及以上，有门窗、窑肩。砖箍眼圈增加300元/孔；砖砌窑肩增加500元/孔；砖砌崖面180元/平方米；前口高度不够标准，每低10厘米扣减10元/平方米。塌陷毁坏、废弃未利用的不予补偿。无门窗扣减20%，无窑肩扣减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jc w:val="center"/>
        </w:trPr>
        <w:tc>
          <w:tcPr>
            <w:tcW w:w="596"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6"/>
                <w:szCs w:val="16"/>
                <w:highlight w:val="none"/>
                <w:u w:val="none"/>
              </w:rPr>
            </w:pPr>
          </w:p>
        </w:tc>
        <w:tc>
          <w:tcPr>
            <w:tcW w:w="1011"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6"/>
                <w:szCs w:val="16"/>
                <w:highlight w:val="none"/>
                <w:u w:val="none"/>
              </w:rPr>
            </w:pPr>
          </w:p>
        </w:tc>
        <w:tc>
          <w:tcPr>
            <w:tcW w:w="993"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土窑（含土坯箍窑）</w:t>
            </w:r>
          </w:p>
        </w:tc>
        <w:tc>
          <w:tcPr>
            <w:tcW w:w="762"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14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500</w:t>
            </w:r>
          </w:p>
        </w:tc>
        <w:tc>
          <w:tcPr>
            <w:tcW w:w="2669"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前口高3米以上，有门窗，有窑肩，能住人或做杂房使用，有供电设施。</w:t>
            </w:r>
          </w:p>
        </w:tc>
        <w:tc>
          <w:tcPr>
            <w:tcW w:w="2294" w:type="dxa"/>
            <w:vMerge w:val="continue"/>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i w:val="0"/>
                <w:iCs w:val="0"/>
                <w:color w:val="auto"/>
                <w:sz w:val="16"/>
                <w:szCs w:val="16"/>
                <w:highlight w:val="none"/>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spacing w:val="0"/>
          <w:w w:val="100"/>
          <w:kern w:val="0"/>
          <w:position w:val="0"/>
          <w:sz w:val="21"/>
          <w:szCs w:val="21"/>
          <w:highlight w:val="none"/>
          <w:u w:val="none"/>
          <w:lang w:val="en-US" w:eastAsia="zh-CN" w:bidi="ar"/>
        </w:rPr>
      </w:pPr>
      <w:r>
        <w:rPr>
          <w:rFonts w:hint="eastAsia" w:ascii="宋体" w:hAnsi="宋体" w:eastAsia="宋体" w:cs="宋体"/>
          <w:b/>
          <w:bCs/>
          <w:i w:val="0"/>
          <w:iCs w:val="0"/>
          <w:color w:val="auto"/>
          <w:spacing w:val="0"/>
          <w:w w:val="100"/>
          <w:kern w:val="0"/>
          <w:position w:val="0"/>
          <w:sz w:val="21"/>
          <w:szCs w:val="21"/>
          <w:highlight w:val="none"/>
          <w:u w:val="none"/>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0"/>
          <w:w w:val="100"/>
          <w:kern w:val="2"/>
          <w:position w:val="0"/>
          <w:sz w:val="28"/>
          <w:szCs w:val="28"/>
          <w:highlight w:val="none"/>
          <w:lang w:val="en-US" w:eastAsia="zh-CN" w:bidi="ar-SA"/>
        </w:rPr>
      </w:pPr>
      <w:r>
        <w:rPr>
          <w:rFonts w:hint="eastAsia" w:ascii="宋体" w:hAnsi="宋体" w:eastAsia="宋体" w:cs="宋体"/>
          <w:b/>
          <w:bCs/>
          <w:i w:val="0"/>
          <w:iCs w:val="0"/>
          <w:color w:val="auto"/>
          <w:spacing w:val="0"/>
          <w:w w:val="100"/>
          <w:kern w:val="0"/>
          <w:position w:val="0"/>
          <w:sz w:val="21"/>
          <w:szCs w:val="21"/>
          <w:highlight w:val="none"/>
          <w:u w:val="none"/>
          <w:lang w:val="en-US" w:eastAsia="zh-CN" w:bidi="ar"/>
        </w:rPr>
        <w:t xml:space="preserve">  </w:t>
      </w:r>
      <w:r>
        <w:rPr>
          <w:rFonts w:hint="eastAsia" w:ascii="宋体" w:hAnsi="宋体" w:eastAsia="宋体" w:cs="宋体"/>
          <w:b/>
          <w:bCs/>
          <w:i w:val="0"/>
          <w:iCs w:val="0"/>
          <w:color w:val="auto"/>
          <w:spacing w:val="0"/>
          <w:w w:val="100"/>
          <w:kern w:val="0"/>
          <w:position w:val="0"/>
          <w:sz w:val="24"/>
          <w:szCs w:val="24"/>
          <w:highlight w:val="none"/>
          <w:u w:val="none"/>
          <w:lang w:val="en-US" w:eastAsia="zh-CN" w:bidi="ar"/>
        </w:rPr>
        <w:t>彭阳县地上建（构）筑物及其他附属设施补偿标准</w:t>
      </w:r>
    </w:p>
    <w:tbl>
      <w:tblPr>
        <w:tblStyle w:val="11"/>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7"/>
        <w:gridCol w:w="962"/>
        <w:gridCol w:w="1245"/>
        <w:gridCol w:w="1155"/>
        <w:gridCol w:w="135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4" w:hRule="exact"/>
          <w:jc w:val="center"/>
        </w:trPr>
        <w:tc>
          <w:tcPr>
            <w:tcW w:w="667"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2207" w:type="dxa"/>
            <w:gridSpan w:val="2"/>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类型</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规格</w:t>
            </w:r>
          </w:p>
        </w:tc>
        <w:tc>
          <w:tcPr>
            <w:tcW w:w="1350"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补偿标准（元）</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围墙</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24厘米砖墙</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延长米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260</w:t>
            </w:r>
          </w:p>
        </w:tc>
        <w:tc>
          <w:tcPr>
            <w:tcW w:w="39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高度2米，含基础抹灰，每增减少10cm价格调±15元/米，泥砌墙下调15元/米。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12厘米砖墙</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延长米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高度2米，含基础抹灰，每增减少10cm价格调±10元/米，泥砌墙下调10元/米。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土墙</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延长米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110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高度1.8米，每增减少10cm价格调±15元/米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人工围栏</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延长米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120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高度2米，每增减少10cm价格调±20元/米，铸铁围墙上调10元/米。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地坪</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水泥地坪</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75</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含基础、垫层，10cm厚度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砖地坪</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含基础、垫层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砼地坪</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135</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含基础、垫层，混凝土强度等级≥C30时，上调30元/平方米。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门楼</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砖混</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元/座</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10000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高3.2米，深度1.8米，现浇或预制板顶，瓷砖贴面，双门。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砖木</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元/座</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高3米，深度1.8米，松木椽顶，瓷砖贴面，柱子门。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土木结构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元/座</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1500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清水墙，含铁大门。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畜圈棚</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砖混结构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330</w:t>
            </w:r>
          </w:p>
        </w:tc>
        <w:tc>
          <w:tcPr>
            <w:tcW w:w="39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三面砖墙，杨木椽顶，层高2.6米，少一面墙下调50元/平方米，层高每增减0.1米，价格按±5%进行修正。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砖木结构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270</w:t>
            </w:r>
          </w:p>
        </w:tc>
        <w:tc>
          <w:tcPr>
            <w:tcW w:w="39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三面砖土墙，5层以上碱砖，杨木椽保温板顶，层高2.6米，少一面墙下调30元/平方米，层高每增减0.1米，价格按±5%进行修正。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土木结构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190</w:t>
            </w:r>
          </w:p>
        </w:tc>
        <w:tc>
          <w:tcPr>
            <w:tcW w:w="39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三面砖墙，层高2.6米，少一面墙下调30元/平方米，层高每增减0.1米，价格按±5%进行修正。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厕所</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水冲式</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5000</w:t>
            </w:r>
          </w:p>
        </w:tc>
        <w:tc>
          <w:tcPr>
            <w:tcW w:w="3975" w:type="dxa"/>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室外旱厕</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1500</w:t>
            </w:r>
          </w:p>
        </w:tc>
        <w:tc>
          <w:tcPr>
            <w:tcW w:w="3975" w:type="dxa"/>
            <w:shd w:val="clear" w:color="auto" w:fill="auto"/>
            <w:vAlign w:val="center"/>
          </w:tcPr>
          <w:p>
            <w:pPr>
              <w:pageBreakBefore w:val="0"/>
              <w:kinsoku/>
              <w:wordWrap/>
              <w:overflowPunct/>
              <w:topLinePunct w:val="0"/>
              <w:bidi w:val="0"/>
              <w:spacing w:line="360" w:lineRule="auto"/>
              <w:jc w:val="left"/>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化粪池</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1500</w:t>
            </w:r>
          </w:p>
        </w:tc>
        <w:tc>
          <w:tcPr>
            <w:tcW w:w="3975" w:type="dxa"/>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井窖</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水井</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元/眼</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2750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深度15米，延长上调200元/米。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窖</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4000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容量50立方。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沼气池</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元/座</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3000</w:t>
            </w:r>
          </w:p>
        </w:tc>
        <w:tc>
          <w:tcPr>
            <w:tcW w:w="3975" w:type="dxa"/>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坟墓</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单穴</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元/座</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4000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迁移费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双穴</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元/座</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6000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迁移费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温棚</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砖混结构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260</w:t>
            </w:r>
          </w:p>
        </w:tc>
        <w:tc>
          <w:tcPr>
            <w:tcW w:w="39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符合标准但未种植蔬菜扣减20%，未覆棚膜扣减20%，宽度不够标准的不予补偿。钢架菜棚后墙、耳墙砖混每平米上调10元，高度及厚度达不到农牧部门要求的按比例扣减。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砖木结构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180</w:t>
            </w:r>
          </w:p>
        </w:tc>
        <w:tc>
          <w:tcPr>
            <w:tcW w:w="3975"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土木结构</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元/平方米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120</w:t>
            </w:r>
          </w:p>
        </w:tc>
        <w:tc>
          <w:tcPr>
            <w:tcW w:w="3975"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热水器</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电能热水器</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太阳能热水器</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炕灶</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炕</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2000</w:t>
            </w:r>
          </w:p>
        </w:tc>
        <w:tc>
          <w:tcPr>
            <w:tcW w:w="3975" w:type="dxa"/>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灶</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元/个</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2000</w:t>
            </w:r>
          </w:p>
        </w:tc>
        <w:tc>
          <w:tcPr>
            <w:tcW w:w="3975" w:type="dxa"/>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jc w:val="center"/>
        </w:trPr>
        <w:tc>
          <w:tcPr>
            <w:tcW w:w="667"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962" w:type="dxa"/>
            <w:vMerge w:val="restart"/>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室外水管</w:t>
            </w: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下水管（水泥、铁铸）</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含土方开挖、涵管安装、土方回填，管径20cm,每增加10cm上调15元/米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667"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962" w:type="dxa"/>
            <w:vMerge w:val="continue"/>
            <w:shd w:val="clear" w:color="auto" w:fill="auto"/>
            <w:vAlign w:val="center"/>
          </w:tcPr>
          <w:p>
            <w:pPr>
              <w:pageBreakBefore w:val="0"/>
              <w:kinsoku/>
              <w:wordWrap/>
              <w:overflowPunct/>
              <w:topLinePunct w:val="0"/>
              <w:bidi w:val="0"/>
              <w:spacing w:line="360" w:lineRule="auto"/>
              <w:jc w:val="center"/>
              <w:rPr>
                <w:rFonts w:hint="eastAsia" w:ascii="宋体" w:hAnsi="宋体" w:eastAsia="宋体" w:cs="宋体"/>
                <w:i w:val="0"/>
                <w:iCs w:val="0"/>
                <w:color w:val="auto"/>
                <w:sz w:val="18"/>
                <w:szCs w:val="18"/>
                <w:highlight w:val="none"/>
                <w:u w:val="none"/>
              </w:rPr>
            </w:pPr>
          </w:p>
        </w:tc>
        <w:tc>
          <w:tcPr>
            <w:tcW w:w="124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上下管线</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元/米</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人工下管，管径30mm,每增加10mm上调5元/米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exact"/>
          <w:jc w:val="center"/>
        </w:trPr>
        <w:tc>
          <w:tcPr>
            <w:tcW w:w="667"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207" w:type="dxa"/>
            <w:gridSpan w:val="2"/>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空调</w:t>
            </w:r>
          </w:p>
        </w:tc>
        <w:tc>
          <w:tcPr>
            <w:tcW w:w="115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元/台</w:t>
            </w:r>
          </w:p>
        </w:tc>
        <w:tc>
          <w:tcPr>
            <w:tcW w:w="13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800</w:t>
            </w:r>
          </w:p>
        </w:tc>
        <w:tc>
          <w:tcPr>
            <w:tcW w:w="3975" w:type="dxa"/>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移装费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spacing w:val="0"/>
          <w:w w:val="100"/>
          <w:kern w:val="0"/>
          <w:position w:val="0"/>
          <w:sz w:val="21"/>
          <w:szCs w:val="21"/>
          <w:highlight w:val="none"/>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0"/>
          <w:w w:val="100"/>
          <w:kern w:val="2"/>
          <w:position w:val="0"/>
          <w:sz w:val="36"/>
          <w:szCs w:val="36"/>
          <w:highlight w:val="none"/>
          <w:lang w:val="en-US" w:eastAsia="zh-CN" w:bidi="ar-SA"/>
        </w:rPr>
      </w:pPr>
      <w:r>
        <w:rPr>
          <w:rFonts w:hint="eastAsia" w:ascii="宋体" w:hAnsi="宋体" w:eastAsia="宋体" w:cs="宋体"/>
          <w:b/>
          <w:bCs/>
          <w:i w:val="0"/>
          <w:iCs w:val="0"/>
          <w:color w:val="auto"/>
          <w:spacing w:val="0"/>
          <w:w w:val="100"/>
          <w:kern w:val="0"/>
          <w:position w:val="0"/>
          <w:sz w:val="21"/>
          <w:szCs w:val="21"/>
          <w:highlight w:val="none"/>
          <w:u w:val="none"/>
          <w:lang w:val="en-US" w:eastAsia="zh-CN" w:bidi="ar"/>
        </w:rPr>
        <w:t xml:space="preserve">   </w:t>
      </w:r>
      <w:r>
        <w:rPr>
          <w:rFonts w:hint="eastAsia" w:ascii="宋体" w:hAnsi="宋体" w:eastAsia="宋体" w:cs="宋体"/>
          <w:b/>
          <w:bCs/>
          <w:i w:val="0"/>
          <w:iCs w:val="0"/>
          <w:color w:val="auto"/>
          <w:spacing w:val="0"/>
          <w:w w:val="100"/>
          <w:kern w:val="0"/>
          <w:position w:val="0"/>
          <w:sz w:val="24"/>
          <w:szCs w:val="24"/>
          <w:highlight w:val="none"/>
          <w:u w:val="none"/>
          <w:lang w:val="en-US" w:eastAsia="zh-CN" w:bidi="ar"/>
        </w:rPr>
        <w:t>彭阳县林（果）类补偿标准</w:t>
      </w:r>
    </w:p>
    <w:tbl>
      <w:tblPr>
        <w:tblStyle w:val="11"/>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4"/>
        <w:gridCol w:w="1003"/>
        <w:gridCol w:w="1388"/>
        <w:gridCol w:w="2065"/>
        <w:gridCol w:w="674"/>
        <w:gridCol w:w="193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9" w:hRule="atLeast"/>
          <w:jc w:val="center"/>
        </w:trPr>
        <w:tc>
          <w:tcPr>
            <w:tcW w:w="58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003"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类型</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补偿标准（元）</w:t>
            </w:r>
          </w:p>
        </w:tc>
        <w:tc>
          <w:tcPr>
            <w:tcW w:w="1451"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w:t>
            </w: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衰果期（16年及以上）</w:t>
            </w:r>
          </w:p>
        </w:tc>
        <w:tc>
          <w:tcPr>
            <w:tcW w:w="67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元/株</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零星栽植的果树适用此标准。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盛果（5-15年）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初果（3-4年）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未挂果（1-2年）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苗圃</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移栽费</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7509"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成熟果园可按面积补偿，合理株树为80株/亩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枣树</w:t>
            </w: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衰果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16年及以上</w:t>
            </w:r>
          </w:p>
        </w:tc>
        <w:tc>
          <w:tcPr>
            <w:tcW w:w="6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株</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零星栽植的果树适用此标准。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5年-15年</w:t>
            </w:r>
          </w:p>
        </w:tc>
        <w:tc>
          <w:tcPr>
            <w:tcW w:w="674"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3年-4年</w:t>
            </w:r>
          </w:p>
        </w:tc>
        <w:tc>
          <w:tcPr>
            <w:tcW w:w="674"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未挂果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1年-2年</w:t>
            </w:r>
          </w:p>
        </w:tc>
        <w:tc>
          <w:tcPr>
            <w:tcW w:w="674"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苗圃</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移栽费</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7509"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成熟枣园可按面积补偿，合理株树为100株/亩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葡萄树</w:t>
            </w: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11年及以上</w:t>
            </w:r>
          </w:p>
        </w:tc>
        <w:tc>
          <w:tcPr>
            <w:tcW w:w="67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元/株</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零星栽植的果树适用此标准。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5年-10年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3年-4年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2年生</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1年生</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苗木</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移栽费</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7509"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成熟葡萄园可按面积补偿，合理株树为棚架111株/亩，篱架330株/亩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枸杞树</w:t>
            </w: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衰果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11年及以上</w:t>
            </w:r>
          </w:p>
        </w:tc>
        <w:tc>
          <w:tcPr>
            <w:tcW w:w="67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元/株</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零星栽植的果树适用此标准。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3年-10年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幼果</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苗圃</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移栽费</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7509"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成熟枸杞园可按面积补偿，合理株树为400株/亩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零星树（阔叶树）</w:t>
            </w:r>
          </w:p>
        </w:tc>
        <w:tc>
          <w:tcPr>
            <w:tcW w:w="138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零星（胸径）</w:t>
            </w: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5cm以下。</w:t>
            </w:r>
          </w:p>
        </w:tc>
        <w:tc>
          <w:tcPr>
            <w:tcW w:w="67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元/株</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包括新疆杨、河北杨、榆树、臭椿、柳树、白蜡、刺槐、国槐、沙枣、垂柳、速生杨、樟河柳等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胸径5.0-9.9cm。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胸径10.0-14.9cm。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胸径15-19.9cm。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胸径20.0-29.9cm。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胸径30.0cm及以上。</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（成片）苗圃</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移栽费</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零星树（针叶树）</w:t>
            </w:r>
          </w:p>
        </w:tc>
        <w:tc>
          <w:tcPr>
            <w:tcW w:w="138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零星（株高）</w:t>
            </w: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0.6m以下</w:t>
            </w:r>
          </w:p>
        </w:tc>
        <w:tc>
          <w:tcPr>
            <w:tcW w:w="67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元/株</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包含云杉、樟子松、桧柏、侧柏、油松、桧柏球等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株高0.60-1.09m。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株高1.1-1.59m。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株高1.6-2.09m。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株高2.1-2.59m。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株高2.6-2.99m。</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株高3.0m及以上。</w:t>
            </w:r>
          </w:p>
        </w:tc>
        <w:tc>
          <w:tcPr>
            <w:tcW w:w="67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移栽费</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58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灌木林</w:t>
            </w: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覆盖率</w:t>
            </w:r>
            <w:r>
              <w:rPr>
                <w:rFonts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145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58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34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覆盖率＜50%</w:t>
            </w:r>
          </w:p>
        </w:tc>
        <w:tc>
          <w:tcPr>
            <w:tcW w:w="6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45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pacing w:val="0"/>
          <w:w w:val="100"/>
          <w:kern w:val="2"/>
          <w:position w:val="0"/>
          <w:sz w:val="28"/>
          <w:szCs w:val="28"/>
          <w:highlight w:val="none"/>
          <w:lang w:val="en-US" w:eastAsia="zh-CN" w:bidi="ar-SA"/>
        </w:rPr>
      </w:pPr>
      <w:r>
        <w:rPr>
          <w:rFonts w:hint="eastAsia" w:ascii="宋体" w:hAnsi="宋体" w:cs="宋体"/>
          <w:b/>
          <w:bCs/>
          <w:color w:val="auto"/>
          <w:spacing w:val="0"/>
          <w:w w:val="100"/>
          <w:kern w:val="2"/>
          <w:position w:val="0"/>
          <w:sz w:val="28"/>
          <w:szCs w:val="28"/>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0"/>
          <w:w w:val="100"/>
          <w:kern w:val="2"/>
          <w:position w:val="0"/>
          <w:sz w:val="40"/>
          <w:szCs w:val="40"/>
          <w:highlight w:val="none"/>
          <w:lang w:val="en-US" w:eastAsia="zh-CN" w:bidi="ar-SA"/>
        </w:rPr>
      </w:pPr>
      <w:r>
        <w:rPr>
          <w:rFonts w:hint="eastAsia" w:ascii="宋体" w:hAnsi="宋体" w:eastAsia="宋体" w:cs="宋体"/>
          <w:b/>
          <w:bCs/>
          <w:i w:val="0"/>
          <w:iCs w:val="0"/>
          <w:color w:val="auto"/>
          <w:spacing w:val="0"/>
          <w:w w:val="100"/>
          <w:kern w:val="0"/>
          <w:position w:val="0"/>
          <w:sz w:val="28"/>
          <w:szCs w:val="28"/>
          <w:highlight w:val="none"/>
          <w:u w:val="none"/>
          <w:lang w:val="en-US" w:eastAsia="zh-CN" w:bidi="ar"/>
        </w:rPr>
        <w:t xml:space="preserve">  彭阳县青苗补偿标准</w:t>
      </w:r>
    </w:p>
    <w:tbl>
      <w:tblPr>
        <w:tblStyle w:val="11"/>
        <w:tblW w:w="91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1047"/>
        <w:gridCol w:w="1047"/>
        <w:gridCol w:w="1122"/>
        <w:gridCol w:w="1065"/>
        <w:gridCol w:w="1957"/>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5"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2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类别</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补偿标准（元/亩）</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粮食作物</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马铃薯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秋杂粮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燕麦、荞麦、谷物等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经济作物</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油葵、胡麻、大豆等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苜蓿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日光菊、麦冬、紫丁香、熏衣草、萱草等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叶菜类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白菜、油菜等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果菜类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1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草莓、西瓜、香瓜、西红柿、辣椒、黄瓜、茄子等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6"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棚内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宿根类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1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韭菜、芹菜等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棚内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元/亩</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134" w:right="1134" w:bottom="1020"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4"/>
                              <w:lang w:eastAsia="zh-CN"/>
                            </w:rPr>
                          </w:pPr>
                          <w:r>
                            <w:rPr>
                              <w:rFonts w:hint="eastAsia" w:ascii="仿宋" w:hAnsi="仿宋" w:eastAsia="仿宋" w:cs="仿宋"/>
                              <w:sz w:val="28"/>
                              <w:lang w:eastAsia="zh-CN"/>
                            </w:rPr>
                            <w:fldChar w:fldCharType="begin"/>
                          </w:r>
                          <w:r>
                            <w:rPr>
                              <w:rFonts w:hint="eastAsia" w:ascii="仿宋" w:hAnsi="仿宋" w:eastAsia="仿宋" w:cs="仿宋"/>
                              <w:sz w:val="28"/>
                              <w:lang w:eastAsia="zh-CN"/>
                            </w:rPr>
                            <w:instrText xml:space="preserve"> PAGE  \* MERGEFORMAT </w:instrText>
                          </w:r>
                          <w:r>
                            <w:rPr>
                              <w:rFonts w:hint="eastAsia" w:ascii="仿宋" w:hAnsi="仿宋" w:eastAsia="仿宋" w:cs="仿宋"/>
                              <w:sz w:val="28"/>
                              <w:lang w:eastAsia="zh-CN"/>
                            </w:rPr>
                            <w:fldChar w:fldCharType="separate"/>
                          </w:r>
                          <w:r>
                            <w:rPr>
                              <w:rFonts w:hint="eastAsia" w:ascii="仿宋" w:hAnsi="仿宋" w:eastAsia="仿宋" w:cs="仿宋"/>
                              <w:sz w:val="28"/>
                            </w:rPr>
                            <w:t>1</w:t>
                          </w:r>
                          <w:r>
                            <w:rPr>
                              <w:rFonts w:hint="eastAsia" w:ascii="仿宋" w:hAnsi="仿宋" w:eastAsia="仿宋" w:cs="仿宋"/>
                              <w:sz w:val="28"/>
                              <w:lang w:eastAsia="zh-CN"/>
                            </w:rPr>
                            <w:fldChar w:fldCharType="end"/>
                          </w:r>
                        </w:p>
                        <w:p>
                          <w:pPr>
                            <w:snapToGrid w:val="0"/>
                            <w:rPr>
                              <w:rFonts w:hint="eastAsia" w:eastAsia="仿宋"/>
                              <w:sz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 w:hAnsi="仿宋" w:eastAsia="仿宋" w:cs="仿宋"/>
                        <w:sz w:val="24"/>
                        <w:lang w:eastAsia="zh-CN"/>
                      </w:rPr>
                    </w:pPr>
                    <w:r>
                      <w:rPr>
                        <w:rFonts w:hint="eastAsia" w:ascii="仿宋" w:hAnsi="仿宋" w:eastAsia="仿宋" w:cs="仿宋"/>
                        <w:sz w:val="28"/>
                        <w:lang w:eastAsia="zh-CN"/>
                      </w:rPr>
                      <w:fldChar w:fldCharType="begin"/>
                    </w:r>
                    <w:r>
                      <w:rPr>
                        <w:rFonts w:hint="eastAsia" w:ascii="仿宋" w:hAnsi="仿宋" w:eastAsia="仿宋" w:cs="仿宋"/>
                        <w:sz w:val="28"/>
                        <w:lang w:eastAsia="zh-CN"/>
                      </w:rPr>
                      <w:instrText xml:space="preserve"> PAGE  \* MERGEFORMAT </w:instrText>
                    </w:r>
                    <w:r>
                      <w:rPr>
                        <w:rFonts w:hint="eastAsia" w:ascii="仿宋" w:hAnsi="仿宋" w:eastAsia="仿宋" w:cs="仿宋"/>
                        <w:sz w:val="28"/>
                        <w:lang w:eastAsia="zh-CN"/>
                      </w:rPr>
                      <w:fldChar w:fldCharType="separate"/>
                    </w:r>
                    <w:r>
                      <w:rPr>
                        <w:rFonts w:hint="eastAsia" w:ascii="仿宋" w:hAnsi="仿宋" w:eastAsia="仿宋" w:cs="仿宋"/>
                        <w:sz w:val="28"/>
                      </w:rPr>
                      <w:t>1</w:t>
                    </w:r>
                    <w:r>
                      <w:rPr>
                        <w:rFonts w:hint="eastAsia" w:ascii="仿宋" w:hAnsi="仿宋" w:eastAsia="仿宋" w:cs="仿宋"/>
                        <w:sz w:val="28"/>
                        <w:lang w:eastAsia="zh-CN"/>
                      </w:rPr>
                      <w:fldChar w:fldCharType="end"/>
                    </w:r>
                  </w:p>
                  <w:p>
                    <w:pPr>
                      <w:snapToGrid w:val="0"/>
                      <w:rPr>
                        <w:rFonts w:hint="eastAsia" w:eastAsia="仿宋"/>
                        <w:sz w:val="2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E495A"/>
    <w:rsid w:val="004E4567"/>
    <w:rsid w:val="018D1D00"/>
    <w:rsid w:val="02131595"/>
    <w:rsid w:val="02226FAC"/>
    <w:rsid w:val="029C03DA"/>
    <w:rsid w:val="02B54237"/>
    <w:rsid w:val="04621E40"/>
    <w:rsid w:val="04877DA3"/>
    <w:rsid w:val="067E6F61"/>
    <w:rsid w:val="06A77BEA"/>
    <w:rsid w:val="073E003F"/>
    <w:rsid w:val="07455B40"/>
    <w:rsid w:val="079046DD"/>
    <w:rsid w:val="07D63295"/>
    <w:rsid w:val="086A4E1E"/>
    <w:rsid w:val="08C0213D"/>
    <w:rsid w:val="08FC1FD0"/>
    <w:rsid w:val="093457A0"/>
    <w:rsid w:val="0940337E"/>
    <w:rsid w:val="095C0D7E"/>
    <w:rsid w:val="0A4F27C1"/>
    <w:rsid w:val="0A9E3E78"/>
    <w:rsid w:val="0AB21006"/>
    <w:rsid w:val="0B3E3404"/>
    <w:rsid w:val="0B9436A3"/>
    <w:rsid w:val="0C0F422D"/>
    <w:rsid w:val="0C157F2F"/>
    <w:rsid w:val="0C3104DC"/>
    <w:rsid w:val="0D6B155A"/>
    <w:rsid w:val="0DED00C5"/>
    <w:rsid w:val="0E633B4F"/>
    <w:rsid w:val="0E9D178B"/>
    <w:rsid w:val="0EF5366F"/>
    <w:rsid w:val="0EF7682D"/>
    <w:rsid w:val="0F4C7E3D"/>
    <w:rsid w:val="0FEA729F"/>
    <w:rsid w:val="11CC313D"/>
    <w:rsid w:val="122C192C"/>
    <w:rsid w:val="123A4F47"/>
    <w:rsid w:val="12CD27E6"/>
    <w:rsid w:val="1372706C"/>
    <w:rsid w:val="159B0215"/>
    <w:rsid w:val="165A5646"/>
    <w:rsid w:val="16B23630"/>
    <w:rsid w:val="172F464F"/>
    <w:rsid w:val="1739100E"/>
    <w:rsid w:val="188B5458"/>
    <w:rsid w:val="1A4F5D3B"/>
    <w:rsid w:val="1AF34B60"/>
    <w:rsid w:val="1BD22848"/>
    <w:rsid w:val="1C2F3271"/>
    <w:rsid w:val="1ED67C05"/>
    <w:rsid w:val="1EDC7C5E"/>
    <w:rsid w:val="20677306"/>
    <w:rsid w:val="21626D71"/>
    <w:rsid w:val="2255003C"/>
    <w:rsid w:val="235D6F33"/>
    <w:rsid w:val="24123442"/>
    <w:rsid w:val="25D62BF3"/>
    <w:rsid w:val="25E24EDA"/>
    <w:rsid w:val="262C2B03"/>
    <w:rsid w:val="27260BCB"/>
    <w:rsid w:val="275F5EEF"/>
    <w:rsid w:val="27817FF7"/>
    <w:rsid w:val="27B63061"/>
    <w:rsid w:val="28696095"/>
    <w:rsid w:val="28AE516C"/>
    <w:rsid w:val="297C2BBD"/>
    <w:rsid w:val="2A1674B0"/>
    <w:rsid w:val="2A5509B0"/>
    <w:rsid w:val="2AB02FC2"/>
    <w:rsid w:val="2BC16472"/>
    <w:rsid w:val="2BCF6112"/>
    <w:rsid w:val="2EDD0409"/>
    <w:rsid w:val="321D1D4A"/>
    <w:rsid w:val="3419201F"/>
    <w:rsid w:val="37B8694C"/>
    <w:rsid w:val="37D73D98"/>
    <w:rsid w:val="37DD743B"/>
    <w:rsid w:val="38346DD2"/>
    <w:rsid w:val="39F23FDF"/>
    <w:rsid w:val="3A0F458F"/>
    <w:rsid w:val="3A211A95"/>
    <w:rsid w:val="3A7A2C00"/>
    <w:rsid w:val="3A9165EF"/>
    <w:rsid w:val="3A9449F9"/>
    <w:rsid w:val="3AF70039"/>
    <w:rsid w:val="3BDB07BA"/>
    <w:rsid w:val="3BEB797B"/>
    <w:rsid w:val="3C935E8F"/>
    <w:rsid w:val="3D332163"/>
    <w:rsid w:val="3D645CE6"/>
    <w:rsid w:val="3F6D49B3"/>
    <w:rsid w:val="3F950287"/>
    <w:rsid w:val="406C2ED4"/>
    <w:rsid w:val="4109265B"/>
    <w:rsid w:val="43C74575"/>
    <w:rsid w:val="45201501"/>
    <w:rsid w:val="45812109"/>
    <w:rsid w:val="45D36995"/>
    <w:rsid w:val="45D71243"/>
    <w:rsid w:val="46F921AD"/>
    <w:rsid w:val="470D60EB"/>
    <w:rsid w:val="47B43ED8"/>
    <w:rsid w:val="481A43D2"/>
    <w:rsid w:val="48233D21"/>
    <w:rsid w:val="488123B1"/>
    <w:rsid w:val="489E495A"/>
    <w:rsid w:val="48BC60FD"/>
    <w:rsid w:val="4AD649A5"/>
    <w:rsid w:val="4B88111D"/>
    <w:rsid w:val="4BB17956"/>
    <w:rsid w:val="4BCD73E4"/>
    <w:rsid w:val="4C945186"/>
    <w:rsid w:val="4CA23CAC"/>
    <w:rsid w:val="4D1D407E"/>
    <w:rsid w:val="4D3A246E"/>
    <w:rsid w:val="4D8D2877"/>
    <w:rsid w:val="4DF27AAF"/>
    <w:rsid w:val="50191F3E"/>
    <w:rsid w:val="501C51FF"/>
    <w:rsid w:val="50773148"/>
    <w:rsid w:val="50937573"/>
    <w:rsid w:val="50BC429B"/>
    <w:rsid w:val="50D461DC"/>
    <w:rsid w:val="51367791"/>
    <w:rsid w:val="52B9389E"/>
    <w:rsid w:val="52EE772E"/>
    <w:rsid w:val="5303259D"/>
    <w:rsid w:val="53827CA5"/>
    <w:rsid w:val="543F44CC"/>
    <w:rsid w:val="55106343"/>
    <w:rsid w:val="5536199C"/>
    <w:rsid w:val="555278D9"/>
    <w:rsid w:val="55CD3C41"/>
    <w:rsid w:val="55D7033D"/>
    <w:rsid w:val="56544685"/>
    <w:rsid w:val="56C82FF9"/>
    <w:rsid w:val="57A826C5"/>
    <w:rsid w:val="58AA1DA5"/>
    <w:rsid w:val="58AF7299"/>
    <w:rsid w:val="59142644"/>
    <w:rsid w:val="5B2B312E"/>
    <w:rsid w:val="5B4E0681"/>
    <w:rsid w:val="5BC008DF"/>
    <w:rsid w:val="5D3F277F"/>
    <w:rsid w:val="5DD80493"/>
    <w:rsid w:val="5DDC07EF"/>
    <w:rsid w:val="5E5A0024"/>
    <w:rsid w:val="5EC248CA"/>
    <w:rsid w:val="5EDC10EE"/>
    <w:rsid w:val="5F16388E"/>
    <w:rsid w:val="5F927F59"/>
    <w:rsid w:val="5FC656FE"/>
    <w:rsid w:val="60126C54"/>
    <w:rsid w:val="60227D92"/>
    <w:rsid w:val="604909F9"/>
    <w:rsid w:val="607426BC"/>
    <w:rsid w:val="61025C4E"/>
    <w:rsid w:val="61400C6B"/>
    <w:rsid w:val="620342A7"/>
    <w:rsid w:val="624242BB"/>
    <w:rsid w:val="62CF634D"/>
    <w:rsid w:val="62E273B1"/>
    <w:rsid w:val="631F26D2"/>
    <w:rsid w:val="64880DD4"/>
    <w:rsid w:val="666B5648"/>
    <w:rsid w:val="675074C7"/>
    <w:rsid w:val="67680D8B"/>
    <w:rsid w:val="67686062"/>
    <w:rsid w:val="67932C42"/>
    <w:rsid w:val="68980582"/>
    <w:rsid w:val="689A166A"/>
    <w:rsid w:val="68BD0F39"/>
    <w:rsid w:val="69B02855"/>
    <w:rsid w:val="6AB51F5B"/>
    <w:rsid w:val="6ADE3B4A"/>
    <w:rsid w:val="6AE40447"/>
    <w:rsid w:val="6AEF7A22"/>
    <w:rsid w:val="6B0763F9"/>
    <w:rsid w:val="6B104FF4"/>
    <w:rsid w:val="6C4C7094"/>
    <w:rsid w:val="6C6A6F39"/>
    <w:rsid w:val="6C825FE5"/>
    <w:rsid w:val="6CDD0C56"/>
    <w:rsid w:val="6DC95E3D"/>
    <w:rsid w:val="6E5B4147"/>
    <w:rsid w:val="6E8D5E4E"/>
    <w:rsid w:val="70FF367F"/>
    <w:rsid w:val="7140200C"/>
    <w:rsid w:val="71762034"/>
    <w:rsid w:val="723E31D1"/>
    <w:rsid w:val="72505BA0"/>
    <w:rsid w:val="72872209"/>
    <w:rsid w:val="729E440C"/>
    <w:rsid w:val="72DB7909"/>
    <w:rsid w:val="73154E4E"/>
    <w:rsid w:val="74B90B5D"/>
    <w:rsid w:val="74C22593"/>
    <w:rsid w:val="74C25C51"/>
    <w:rsid w:val="76600C5D"/>
    <w:rsid w:val="7682498E"/>
    <w:rsid w:val="77061A97"/>
    <w:rsid w:val="77284A5B"/>
    <w:rsid w:val="77447586"/>
    <w:rsid w:val="77832BAA"/>
    <w:rsid w:val="78060990"/>
    <w:rsid w:val="784D7C14"/>
    <w:rsid w:val="7A6D4F9C"/>
    <w:rsid w:val="7ABE20C7"/>
    <w:rsid w:val="7BD57777"/>
    <w:rsid w:val="7C416F2F"/>
    <w:rsid w:val="7C6502EA"/>
    <w:rsid w:val="7C800779"/>
    <w:rsid w:val="7DE85837"/>
    <w:rsid w:val="7E1C1010"/>
    <w:rsid w:val="7E953356"/>
    <w:rsid w:val="7F573B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ind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4">
    <w:name w:val="Body Text First Indent"/>
    <w:basedOn w:val="5"/>
    <w:qFormat/>
    <w:uiPriority w:val="0"/>
    <w:pPr>
      <w:widowControl w:val="0"/>
      <w:ind w:firstLine="420" w:firstLineChars="100"/>
      <w:jc w:val="center"/>
    </w:pPr>
    <w:rPr>
      <w:rFonts w:ascii="Calibri" w:hAnsi="Calibri" w:eastAsia="宋体" w:cs="Times New Roman"/>
      <w:kern w:val="2"/>
      <w:sz w:val="32"/>
      <w:szCs w:val="24"/>
      <w:lang w:val="en-US" w:eastAsia="zh-CN" w:bidi="ar-SA"/>
    </w:rPr>
  </w:style>
  <w:style w:type="paragraph" w:styleId="5">
    <w:name w:val="Body Text"/>
    <w:basedOn w:val="1"/>
    <w:next w:val="4"/>
    <w:qFormat/>
    <w:uiPriority w:val="0"/>
    <w:pPr>
      <w:adjustRightInd/>
      <w:snapToGrid/>
      <w:spacing w:line="240" w:lineRule="auto"/>
      <w:ind w:firstLine="0" w:firstLineChars="0"/>
    </w:pPr>
    <w:rPr>
      <w:rFonts w:ascii="Times New Roman" w:hAnsi="Times New Roman" w:eastAsia="仿宋_GB2312"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jc w:val="left"/>
    </w:pPr>
    <w:rPr>
      <w:rFonts w:ascii="Calibri" w:hAnsi="Calibri"/>
      <w:kern w:val="0"/>
      <w:sz w:val="24"/>
    </w:rPr>
  </w:style>
  <w:style w:type="character" w:styleId="10">
    <w:name w:val="Strong"/>
    <w:basedOn w:val="9"/>
    <w:qFormat/>
    <w:uiPriority w:val="0"/>
    <w:rPr>
      <w:b/>
    </w:rPr>
  </w:style>
  <w:style w:type="character" w:customStyle="1" w:styleId="12">
    <w:name w:val="font81"/>
    <w:basedOn w:val="9"/>
    <w:qFormat/>
    <w:uiPriority w:val="0"/>
    <w:rPr>
      <w:rFonts w:hint="eastAsia" w:ascii="宋体" w:hAnsi="宋体" w:eastAsia="宋体" w:cs="宋体"/>
      <w:b/>
      <w:bCs/>
      <w:color w:val="000000"/>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2019-11-12T02:46:00Z</dcterms:created>
  <dc:creator>Administrator</dc:creator>
  <cp:lastModifiedBy>彭阳局信息员</cp:lastModifiedBy>
  <cp:lastPrinted>2020-01-16T09:20:00Z</cp:lastPrinted>
  <dcterms:modified xsi:type="dcterms:W3CDTF">2022-01-14T02:48:54Z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6D2C1EA06A2F4BA8A614B3157CC7131D</vt:lpwstr>
  </property>
</Properties>
</file>